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36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60"/>
        <w:jc w:val="center"/>
        <w:rPr/>
      </w:pPr>
      <w:r>
        <w:rPr>
          <w:color w:val="000000"/>
        </w:rPr>
        <w:t> </w:t>
      </w:r>
      <w:r>
        <w:rPr>
          <w:rFonts w:ascii="Times New Roman;serif" w:hAnsi="Times New Roman;serif"/>
          <w:b/>
          <w:color w:val="000000"/>
          <w:sz w:val="36"/>
        </w:rPr>
        <w:t>FORM 10-Q</w:t>
      </w:r>
    </w:p>
    <w:tbl>
      <w:tblPr>
        <w:tblW w:w="5996" w:type="dxa"/>
        <w:jc w:val="center"/>
        <w:tblInd w:w="0" w:type="dxa"/>
        <w:tblLayout w:type="fixed"/>
        <w:tblCellMar>
          <w:top w:w="28" w:type="dxa"/>
          <w:left w:w="28" w:type="dxa"/>
          <w:bottom w:w="28" w:type="dxa"/>
          <w:right w:w="28" w:type="dxa"/>
        </w:tblCellMar>
      </w:tblPr>
      <w:tblGrid>
        <w:gridCol w:w="124"/>
        <w:gridCol w:w="109"/>
        <w:gridCol w:w="109"/>
        <w:gridCol w:w="1656"/>
        <w:gridCol w:w="1656"/>
        <w:gridCol w:w="23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6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QUARTERLY REPORT PURSUANT TO SECTION 13 OR 15(d) OF </w:t>
              <w:br/>
              <w:t>THE SECURITIES EXCHANGE ACT OF 1934</w:t>
            </w:r>
          </w:p>
        </w:tc>
      </w:tr>
    </w:tbl>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For the quarterly period ended June 30, 2026</w:t>
      </w:r>
    </w:p>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OR</w:t>
      </w:r>
    </w:p>
    <w:tbl>
      <w:tblPr>
        <w:tblW w:w="5996" w:type="dxa"/>
        <w:jc w:val="center"/>
        <w:tblInd w:w="0" w:type="dxa"/>
        <w:tblLayout w:type="fixed"/>
        <w:tblCellMar>
          <w:top w:w="28" w:type="dxa"/>
          <w:left w:w="28" w:type="dxa"/>
          <w:bottom w:w="28" w:type="dxa"/>
          <w:right w:w="28" w:type="dxa"/>
        </w:tblCellMar>
      </w:tblPr>
      <w:tblGrid>
        <w:gridCol w:w="124"/>
        <w:gridCol w:w="109"/>
        <w:gridCol w:w="109"/>
        <w:gridCol w:w="1656"/>
        <w:gridCol w:w="1656"/>
        <w:gridCol w:w="23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6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TRANSITION REPORT PURSUANT TO SECTION 13 OR 15(d) OF </w:t>
              <w:br/>
              <w:t>THE SECURITIES EXCHANGE ACT OF 1934</w:t>
            </w:r>
          </w:p>
        </w:tc>
      </w:tr>
    </w:tbl>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For the transition period from ______ to ______</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Commission file number 0-24531</w:t>
      </w:r>
    </w:p>
    <w:p>
      <w:pPr>
        <w:pStyle w:val="TextBody"/>
        <w:bidi w:val="0"/>
        <w:spacing w:before="0" w:after="60"/>
        <w:jc w:val="center"/>
        <w:rPr/>
      </w:pPr>
      <w:r>
        <w:rPr/>
        <w:drawing>
          <wp:inline distT="0" distB="0" distL="0" distR="0">
            <wp:extent cx="4286250"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286250" cy="733425"/>
                    </a:xfrm>
                    <a:prstGeom prst="rect">
                      <a:avLst/>
                    </a:prstGeom>
                  </pic:spPr>
                </pic:pic>
              </a:graphicData>
            </a:graphic>
          </wp:inline>
        </w:drawing>
      </w:r>
      <w:bookmarkStart w:id="0" w:name="i-1"/>
      <w:bookmarkEnd w:id="0"/>
    </w:p>
    <w:p>
      <w:pPr>
        <w:pStyle w:val="TextBody"/>
        <w:bidi w:val="0"/>
        <w:spacing w:lineRule="auto" w:line="288" w:before="0" w:after="60"/>
        <w:jc w:val="center"/>
        <w:rPr>
          <w:rFonts w:ascii="Times New Roman;serif" w:hAnsi="Times New Roman;serif"/>
          <w:b/>
          <w:color w:val="000000"/>
          <w:sz w:val="36"/>
          <w:u w:val="single"/>
        </w:rPr>
      </w:pPr>
      <w:r>
        <w:rPr>
          <w:rFonts w:ascii="Times New Roman;serif" w:hAnsi="Times New Roman;serif"/>
          <w:b/>
          <w:color w:val="000000"/>
          <w:sz w:val="36"/>
          <w:u w:val="single"/>
        </w:rPr>
        <w:t>CoStar Group, Inc.</w:t>
      </w:r>
    </w:p>
    <w:p>
      <w:pPr>
        <w:pStyle w:val="TextBody"/>
        <w:bidi w:val="0"/>
        <w:spacing w:lineRule="auto" w:line="288" w:before="0" w:after="60"/>
        <w:jc w:val="center"/>
        <w:rPr>
          <w:rFonts w:ascii="Times New Roman;serif" w:hAnsi="Times New Roman;serif"/>
          <w:b w:val="false"/>
          <w:i/>
          <w:color w:val="000000"/>
          <w:sz w:val="18"/>
        </w:rPr>
      </w:pPr>
      <w:r>
        <w:rPr>
          <w:rFonts w:ascii="Times New Roman;serif" w:hAnsi="Times New Roman;serif"/>
          <w:b w:val="false"/>
          <w:i/>
          <w:color w:val="000000"/>
          <w:sz w:val="18"/>
        </w:rPr>
        <w:t>(Exact name of registrant as specified in its charter)</w:t>
      </w:r>
    </w:p>
    <w:tbl>
      <w:tblPr>
        <w:tblW w:w="7451" w:type="dxa"/>
        <w:jc w:val="center"/>
        <w:tblInd w:w="0" w:type="dxa"/>
        <w:tblLayout w:type="fixed"/>
        <w:tblCellMar>
          <w:top w:w="28" w:type="dxa"/>
          <w:left w:w="28" w:type="dxa"/>
          <w:bottom w:w="28" w:type="dxa"/>
          <w:right w:w="28" w:type="dxa"/>
        </w:tblCellMar>
      </w:tblPr>
      <w:tblGrid>
        <w:gridCol w:w="1608"/>
        <w:gridCol w:w="1419"/>
        <w:gridCol w:w="1427"/>
        <w:gridCol w:w="109"/>
        <w:gridCol w:w="109"/>
        <w:gridCol w:w="109"/>
        <w:gridCol w:w="778"/>
        <w:gridCol w:w="778"/>
        <w:gridCol w:w="1114"/>
      </w:tblGrid>
      <w:tr>
        <w:trPr/>
        <w:tc>
          <w:tcPr>
            <w:tcW w:w="1608"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52-2091509</w:t>
            </w:r>
          </w:p>
        </w:tc>
      </w:tr>
      <w:tr>
        <w:trPr/>
        <w:tc>
          <w:tcPr>
            <w:tcW w:w="4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(I.R.S. Employer Identification No.)</w:t>
            </w:r>
          </w:p>
        </w:tc>
      </w:tr>
    </w:tbl>
    <w:tbl>
      <w:tblPr>
        <w:tblW w:w="1946" w:type="dxa"/>
        <w:jc w:val="center"/>
        <w:tblInd w:w="0" w:type="dxa"/>
        <w:tblLayout w:type="fixed"/>
        <w:tblCellMar>
          <w:top w:w="28" w:type="dxa"/>
          <w:left w:w="28" w:type="dxa"/>
          <w:bottom w:w="28" w:type="dxa"/>
          <w:right w:w="28" w:type="dxa"/>
        </w:tblCellMar>
      </w:tblPr>
      <w:tblGrid>
        <w:gridCol w:w="315"/>
        <w:gridCol w:w="277"/>
        <w:gridCol w:w="279"/>
        <w:gridCol w:w="158"/>
        <w:gridCol w:w="158"/>
        <w:gridCol w:w="158"/>
        <w:gridCol w:w="176"/>
        <w:gridCol w:w="176"/>
        <w:gridCol w:w="249"/>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9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1201 Wilson Blvd</w:t>
            </w:r>
          </w:p>
        </w:tc>
      </w:tr>
      <w:tr>
        <w:trPr/>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Arlington</w:t>
            </w:r>
          </w:p>
        </w:tc>
        <w:tc>
          <w:tcPr>
            <w:tcW w:w="4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VA</w:t>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22209</w:t>
            </w:r>
          </w:p>
        </w:tc>
      </w:tr>
    </w:tbl>
    <w:p>
      <w:pPr>
        <w:pStyle w:val="TextBody"/>
        <w:bidi w:val="0"/>
        <w:spacing w:lineRule="auto" w:line="288" w:before="0" w:after="180"/>
        <w:jc w:val="center"/>
        <w:rPr/>
      </w:pPr>
      <w:r>
        <w:rPr>
          <w:rFonts w:ascii="Times New Roman;serif" w:hAnsi="Times New Roman;serif"/>
          <w:b w:val="false"/>
          <w:i/>
          <w:color w:val="000000"/>
          <w:sz w:val="20"/>
        </w:rPr>
        <w:t>(Ad</w:t>
      </w:r>
      <w:r>
        <w:rPr>
          <w:rFonts w:ascii="Times New Roman;serif" w:hAnsi="Times New Roman;serif"/>
          <w:b w:val="false"/>
          <w:i/>
          <w:color w:val="000000"/>
          <w:sz w:val="18"/>
        </w:rPr>
        <w:t>dress of principal executive offices) (Zip Code)</w:t>
      </w:r>
    </w:p>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(202) 346-6500</w:t>
      </w:r>
    </w:p>
    <w:p>
      <w:pPr>
        <w:pStyle w:val="TextBody"/>
        <w:bidi w:val="0"/>
        <w:spacing w:lineRule="auto" w:line="288" w:before="0" w:after="180"/>
        <w:jc w:val="center"/>
        <w:rPr>
          <w:rFonts w:ascii="Times New Roman;serif" w:hAnsi="Times New Roman;serif"/>
          <w:b w:val="false"/>
          <w:i/>
          <w:color w:val="000000"/>
          <w:sz w:val="18"/>
        </w:rPr>
      </w:pPr>
      <w:r>
        <w:rPr>
          <w:rFonts w:ascii="Times New Roman;serif" w:hAnsi="Times New Roman;serif"/>
          <w:b w:val="false"/>
          <w:i/>
          <w:color w:val="000000"/>
          <w:sz w:val="18"/>
        </w:rPr>
        <w:t>(Registrant’s telephone number, including area code)</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332" w:type="dxa"/>
        <w:jc w:val="center"/>
        <w:tblInd w:w="0" w:type="dxa"/>
        <w:tblLayout w:type="fixed"/>
        <w:tblCellMar>
          <w:top w:w="28" w:type="dxa"/>
          <w:left w:w="28" w:type="dxa"/>
          <w:bottom w:w="28" w:type="dxa"/>
          <w:right w:w="28" w:type="dxa"/>
        </w:tblCellMar>
      </w:tblPr>
      <w:tblGrid>
        <w:gridCol w:w="900"/>
        <w:gridCol w:w="792"/>
        <w:gridCol w:w="797"/>
        <w:gridCol w:w="454"/>
        <w:gridCol w:w="454"/>
        <w:gridCol w:w="456"/>
        <w:gridCol w:w="1019"/>
        <w:gridCol w:w="1019"/>
        <w:gridCol w:w="1441"/>
      </w:tblGrid>
      <w:tr>
        <w:trPr/>
        <w:tc>
          <w:tcPr>
            <w:tcW w:w="90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w:t>
            </w:r>
          </w:p>
        </w:tc>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24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CSGP</w:t>
            </w:r>
          </w:p>
        </w:tc>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0" w:after="180"/>
        <w:jc w:val="both"/>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0" w:after="180"/>
        <w:jc w:val="both"/>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4"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0"/>
              <w:jc w:val="both"/>
              <w:rPr>
                <w:rFonts w:ascii="Wingdings;sans-serif" w:hAnsi="Wingdings;sans-serif"/>
                <w:b w:val="false"/>
                <w:color w:val="000000"/>
                <w:sz w:val="18"/>
              </w:rPr>
            </w:pPr>
            <w:r>
              <w:rPr>
                <w:rFonts w:ascii="Wingdings;sans-serif" w:hAnsi="Wingdings;sans-serif"/>
                <w:b w:val="false"/>
                <w:color w:val="000000"/>
                <w:sz w:val="18"/>
              </w:rPr>
              <w:t>x</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0"/>
              <w:jc w:val="both"/>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0"/>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0"/>
              <w:jc w:val="both"/>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0"/>
              <w:jc w:val="both"/>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0"/>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0"/>
              <w:jc w:val="both"/>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0"/>
              <w:jc w:val="both"/>
              <w:rPr>
                <w:color w:val="000000"/>
              </w:rPr>
            </w:pPr>
            <w:r>
              <w:rPr>
                <w:color w:val="000000"/>
              </w:rPr>
              <w:t>☐</w:t>
            </w:r>
          </w:p>
        </w:tc>
      </w:tr>
    </w:tbl>
    <w:p>
      <w:pPr>
        <w:pStyle w:val="TextBody"/>
        <w:bidi w:val="0"/>
        <w:spacing w:lineRule="auto" w:line="288" w:before="0" w:after="180"/>
        <w:ind w:left="0" w:right="0" w:firstLine="36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0" w:after="180"/>
        <w:jc w:val="both"/>
        <w:rPr/>
      </w:pPr>
      <w:r>
        <w:rPr>
          <w:rFonts w:ascii="Times New Roman;serif" w:hAnsi="Times New Roman;serif"/>
          <w:b w:val="false"/>
          <w:color w:val="000000"/>
          <w:sz w:val="18"/>
        </w:rPr>
        <w:t xml:space="preserve">Indicate by check mark whether the registrant is a shell company (as defined in Rule 12b-2 of the Exchange Act). Yes ☐ No </w:t>
      </w:r>
      <w:r>
        <w:rPr>
          <w:rFonts w:ascii="Wingdings;sans-serif" w:hAnsi="Wingdings;sans-serif"/>
          <w:b w:val="false"/>
          <w:color w:val="000000"/>
          <w:sz w:val="18"/>
        </w:rPr>
        <w:t>x</w:t>
      </w:r>
    </w:p>
    <w:p>
      <w:pPr>
        <w:pStyle w:val="TextBody"/>
        <w:bidi w:val="0"/>
        <w:spacing w:lineRule="auto" w:line="288" w:before="0" w:after="180"/>
        <w:jc w:val="both"/>
        <w:rPr/>
      </w:pPr>
      <w:r>
        <w:rPr>
          <w:rFonts w:ascii="Times New Roman;serif" w:hAnsi="Times New Roman;serif"/>
          <w:b w:val="false"/>
          <w:color w:val="000000"/>
          <w:sz w:val="18"/>
        </w:rPr>
        <w:t xml:space="preserve">As of </w:t>
      </w:r>
      <w:r>
        <w:rPr>
          <w:rFonts w:ascii="Times New Roman;serif" w:hAnsi="Times New Roman;serif"/>
          <w:b w:val="false"/>
          <w:color w:val="000000"/>
          <w:sz w:val="20"/>
        </w:rPr>
        <w:t>July 27, 2026</w:t>
      </w:r>
      <w:r>
        <w:rPr>
          <w:rFonts w:ascii="Times New Roman;serif" w:hAnsi="Times New Roman;serif"/>
          <w:b w:val="false"/>
          <w:color w:val="000000"/>
          <w:sz w:val="18"/>
        </w:rPr>
        <w:t>, there</w:t>
      </w:r>
      <w:r>
        <w:rPr>
          <w:color w:val="000000"/>
          <w:shd w:fill="FFFFFF" w:val="clear"/>
        </w:rPr>
        <w:t xml:space="preserve"> </w:t>
      </w:r>
      <w:r>
        <w:rPr>
          <w:rFonts w:ascii="Times New Roman;serif" w:hAnsi="Times New Roman;serif"/>
          <w:b w:val="false"/>
          <w:color w:val="000000"/>
          <w:sz w:val="18"/>
          <w:shd w:fill="FFFFFF" w:val="clear"/>
        </w:rPr>
        <w:t>were 405,197,588 shar</w:t>
      </w:r>
      <w:r>
        <w:rPr>
          <w:rFonts w:ascii="Times New Roman;serif" w:hAnsi="Times New Roman;serif"/>
          <w:b w:val="false"/>
          <w:color w:val="000000"/>
          <w:sz w:val="18"/>
        </w:rPr>
        <w:t>es of the registrant’s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360"/>
                        <w:jc w:val="both"/>
                        <w:rPr/>
                      </w:pPr>
                      <w:r>
                        <w:rPr/>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903" w:type="dxa"/>
        <w:jc w:val="left"/>
        <w:tblInd w:w="0" w:type="dxa"/>
        <w:tblLayout w:type="fixed"/>
        <w:tblCellMar>
          <w:top w:w="28" w:type="dxa"/>
          <w:left w:w="28" w:type="dxa"/>
          <w:bottom w:w="28" w:type="dxa"/>
          <w:right w:w="28" w:type="dxa"/>
        </w:tblCellMar>
      </w:tblPr>
      <w:tblGrid>
        <w:gridCol w:w="304"/>
        <w:gridCol w:w="267"/>
        <w:gridCol w:w="269"/>
        <w:gridCol w:w="109"/>
        <w:gridCol w:w="109"/>
        <w:gridCol w:w="109"/>
        <w:gridCol w:w="2452"/>
        <w:gridCol w:w="2452"/>
        <w:gridCol w:w="2460"/>
        <w:gridCol w:w="109"/>
        <w:gridCol w:w="109"/>
        <w:gridCol w:w="154"/>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3adb65ecae4e9092d1b5ce5c0e462b_10">
              <w:r>
                <w:rPr>
                  <w:rStyle w:val="InternetLink"/>
                  <w:rFonts w:ascii="Times New Roman;serif" w:hAnsi="Times New Roman;serif"/>
                  <w:b w:val="false"/>
                  <w:color w:val="0000FF"/>
                  <w:sz w:val="20"/>
                  <w:u w:val="single"/>
                </w:rPr>
                <w:t>Glossary of Terms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53adb65ecae4e9092d1b5ce5c0e462b_10">
              <w:r>
                <w:rPr>
                  <w:rStyle w:val="InternetLink"/>
                  <w:rFonts w:ascii="Times New Roman;serif" w:hAnsi="Times New Roman;serif"/>
                  <w:b w:val="false"/>
                  <w:color w:val="0000FF"/>
                  <w:sz w:val="20"/>
                  <w:u w:val="single"/>
                </w:rPr>
                <w:t>3</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INFORMATION</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3adb65ecae4e9092d1b5ce5c0e462b_16">
              <w:r>
                <w:rPr>
                  <w:rStyle w:val="InternetLink"/>
                  <w:rFonts w:ascii="Times New Roman;serif" w:hAnsi="Times New Roman;serif"/>
                  <w:b w:val="false"/>
                  <w:color w:val="0000FF"/>
                  <w:sz w:val="20"/>
                  <w:u w:val="single"/>
                </w:rPr>
                <w:t>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53adb65ecae4e9092d1b5ce5c0e462b_16">
              <w:r>
                <w:rPr>
                  <w:rStyle w:val="InternetLink"/>
                  <w:rFonts w:ascii="Times New Roman;serif" w:hAnsi="Times New Roman;serif"/>
                  <w:b w:val="false"/>
                  <w:color w:val="0000FF"/>
                  <w:sz w:val="20"/>
                  <w:u w:val="single"/>
                </w:rPr>
                <w:t>6</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3adb65ecae4e9092d1b5ce5c0e462b_19">
              <w:r>
                <w:rPr>
                  <w:rStyle w:val="InternetLink"/>
                  <w:rFonts w:ascii="Times New Roman;serif" w:hAnsi="Times New Roman;serif"/>
                  <w:b w:val="false"/>
                  <w:color w:val="0000FF"/>
                  <w:sz w:val="20"/>
                  <w:u w:val="single"/>
                </w:rPr>
                <w:t>Condensed Consolidated Statements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53adb65ecae4e9092d1b5ce5c0e462b_19">
              <w:r>
                <w:rPr>
                  <w:rStyle w:val="InternetLink"/>
                  <w:rFonts w:ascii="Times New Roman;serif" w:hAnsi="Times New Roman;serif"/>
                  <w:b w:val="false"/>
                  <w:color w:val="0000FF"/>
                  <w:sz w:val="20"/>
                  <w:u w:val="single"/>
                </w:rPr>
                <w:t>6</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3adb65ecae4e9092d1b5ce5c0e462b_22">
              <w:r>
                <w:rPr>
                  <w:rStyle w:val="InternetLink"/>
                  <w:rFonts w:ascii="Times New Roman;serif" w:hAnsi="Times New Roman;serif"/>
                  <w:b w:val="false"/>
                  <w:color w:val="0000FF"/>
                  <w:sz w:val="20"/>
                  <w:u w:val="single"/>
                </w:rPr>
                <w:t>Condensed Consolidated Statements of Comprehensive Income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53adb65ecae4e9092d1b5ce5c0e462b_22">
              <w:r>
                <w:rPr>
                  <w:rStyle w:val="InternetLink"/>
                  <w:rFonts w:ascii="Times New Roman;serif" w:hAnsi="Times New Roman;serif"/>
                  <w:b w:val="false"/>
                  <w:color w:val="0000FF"/>
                  <w:sz w:val="20"/>
                  <w:u w:val="single"/>
                </w:rPr>
                <w:t>7</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3adb65ecae4e9092d1b5ce5c0e462b_25">
              <w:r>
                <w:rPr>
                  <w:rStyle w:val="InternetLink"/>
                  <w:rFonts w:ascii="Times New Roman;serif" w:hAnsi="Times New Roman;serif"/>
                  <w:b w:val="false"/>
                  <w:color w:val="0000FF"/>
                  <w:sz w:val="20"/>
                  <w:u w:val="single"/>
                </w:rPr>
                <w:t>Condensed 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53adb65ecae4e9092d1b5ce5c0e462b_25">
              <w:r>
                <w:rPr>
                  <w:rStyle w:val="InternetLink"/>
                  <w:rFonts w:ascii="Times New Roman;serif" w:hAnsi="Times New Roman;serif"/>
                  <w:b w:val="false"/>
                  <w:color w:val="0000FF"/>
                  <w:sz w:val="20"/>
                  <w:u w:val="single"/>
                </w:rPr>
                <w:t>8</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3adb65ecae4e9092d1b5ce5c0e462b_28">
              <w:r>
                <w:rPr>
                  <w:rStyle w:val="InternetLink"/>
                  <w:rFonts w:ascii="Times New Roman;serif" w:hAnsi="Times New Roman;serif"/>
                  <w:b w:val="false"/>
                  <w:color w:val="0000FF"/>
                  <w:sz w:val="20"/>
                  <w:u w:val="single"/>
                </w:rPr>
                <w:t>Condensed Consolidated Statements of Changes in Stockholders’ Equity</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53adb65ecae4e9092d1b5ce5c0e462b_28">
              <w:r>
                <w:rPr>
                  <w:rStyle w:val="InternetLink"/>
                  <w:rFonts w:ascii="Times New Roman;serif" w:hAnsi="Times New Roman;serif"/>
                  <w:b w:val="false"/>
                  <w:color w:val="0000FF"/>
                  <w:sz w:val="20"/>
                  <w:u w:val="single"/>
                </w:rPr>
                <w:t>9</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3adb65ecae4e9092d1b5ce5c0e462b_31">
              <w:r>
                <w:rPr>
                  <w:rStyle w:val="InternetLink"/>
                  <w:rFonts w:ascii="Times New Roman;serif" w:hAnsi="Times New Roman;serif"/>
                  <w:b w:val="false"/>
                  <w:color w:val="0000FF"/>
                  <w:sz w:val="20"/>
                  <w:u w:val="single"/>
                </w:rPr>
                <w:t>Condensed 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53adb65ecae4e9092d1b5ce5c0e462b_31">
              <w:r>
                <w:rPr>
                  <w:rStyle w:val="InternetLink"/>
                  <w:rFonts w:ascii="Times New Roman;serif" w:hAnsi="Times New Roman;serif"/>
                  <w:b w:val="false"/>
                  <w:color w:val="0000FF"/>
                  <w:sz w:val="20"/>
                  <w:u w:val="single"/>
                </w:rPr>
                <w:t>11</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3adb65ecae4e9092d1b5ce5c0e462b_34">
              <w:r>
                <w:rPr>
                  <w:rStyle w:val="InternetLink"/>
                  <w:rFonts w:ascii="Times New Roman;serif" w:hAnsi="Times New Roman;serif"/>
                  <w:b w:val="false"/>
                  <w:color w:val="0000FF"/>
                  <w:sz w:val="20"/>
                  <w:u w:val="single"/>
                </w:rPr>
                <w:t>Notes to Condensed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53adb65ecae4e9092d1b5ce5c0e462b_34">
              <w:r>
                <w:rPr>
                  <w:rStyle w:val="InternetLink"/>
                  <w:rFonts w:ascii="Times New Roman;serif" w:hAnsi="Times New Roman;serif"/>
                  <w:b w:val="false"/>
                  <w:color w:val="0000FF"/>
                  <w:sz w:val="20"/>
                  <w:u w:val="single"/>
                </w:rPr>
                <w:t>12</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3adb65ecae4e9092d1b5ce5c0e462b_151">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53adb65ecae4e9092d1b5ce5c0e462b_151">
              <w:r>
                <w:rPr>
                  <w:rStyle w:val="InternetLink"/>
                  <w:rFonts w:ascii="Times New Roman;serif" w:hAnsi="Times New Roman;serif"/>
                  <w:b w:val="false"/>
                  <w:color w:val="0000FF"/>
                  <w:sz w:val="20"/>
                  <w:u w:val="single"/>
                </w:rPr>
                <w:t>40</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3adb65ecae4e9092d1b5ce5c0e462b_190">
              <w:r>
                <w:rPr>
                  <w:rStyle w:val="InternetLink"/>
                  <w:rFonts w:ascii="Times New Roman;serif" w:hAnsi="Times New Roman;serif"/>
                  <w:b w:val="false"/>
                  <w:color w:val="0000FF"/>
                  <w:sz w:val="20"/>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53adb65ecae4e9092d1b5ce5c0e462b_190">
              <w:r>
                <w:rPr>
                  <w:rStyle w:val="InternetLink"/>
                  <w:rFonts w:ascii="Times New Roman;serif" w:hAnsi="Times New Roman;serif"/>
                  <w:b w:val="false"/>
                  <w:color w:val="0000FF"/>
                  <w:sz w:val="20"/>
                  <w:u w:val="single"/>
                </w:rPr>
                <w:t>60</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3adb65ecae4e9092d1b5ce5c0e462b_193">
              <w:r>
                <w:rPr>
                  <w:rStyle w:val="InternetLink"/>
                  <w:rFonts w:ascii="Times New Roman;serif" w:hAnsi="Times New Roman;serif"/>
                  <w:b w:val="false"/>
                  <w:color w:val="0000FF"/>
                  <w:sz w:val="20"/>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53adb65ecae4e9092d1b5ce5c0e462b_193">
              <w:r>
                <w:rPr>
                  <w:rStyle w:val="InternetLink"/>
                  <w:rFonts w:ascii="Times New Roman;serif" w:hAnsi="Times New Roman;serif"/>
                  <w:b w:val="false"/>
                  <w:color w:val="0000FF"/>
                  <w:sz w:val="20"/>
                  <w:u w:val="single"/>
                </w:rPr>
                <w:t>61</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INFORMATION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3adb65ecae4e9092d1b5ce5c0e462b_199">
              <w:r>
                <w:rPr>
                  <w:rStyle w:val="InternetLink"/>
                  <w:rFonts w:ascii="Times New Roman;serif" w:hAnsi="Times New Roman;serif"/>
                  <w:b w:val="false"/>
                  <w:color w:val="0000FF"/>
                  <w:sz w:val="20"/>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53adb65ecae4e9092d1b5ce5c0e462b_199">
              <w:r>
                <w:rPr>
                  <w:rStyle w:val="InternetLink"/>
                  <w:rFonts w:ascii="Times New Roman;serif" w:hAnsi="Times New Roman;serif"/>
                  <w:b w:val="false"/>
                  <w:color w:val="0000FF"/>
                  <w:sz w:val="20"/>
                  <w:u w:val="single"/>
                </w:rPr>
                <w:t>62</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3adb65ecae4e9092d1b5ce5c0e462b_202">
              <w:r>
                <w:rPr>
                  <w:rStyle w:val="InternetLink"/>
                  <w:rFonts w:ascii="Times New Roman;serif" w:hAnsi="Times New Roman;serif"/>
                  <w:b w:val="false"/>
                  <w:color w:val="0000FF"/>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53adb65ecae4e9092d1b5ce5c0e462b_202">
              <w:r>
                <w:rPr>
                  <w:rStyle w:val="InternetLink"/>
                  <w:rFonts w:ascii="Times New Roman;serif" w:hAnsi="Times New Roman;serif"/>
                  <w:b w:val="false"/>
                  <w:color w:val="0000FF"/>
                  <w:sz w:val="20"/>
                  <w:u w:val="single"/>
                </w:rPr>
                <w:t>62</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3adb65ecae4e9092d1b5ce5c0e462b_205">
              <w:r>
                <w:rPr>
                  <w:rStyle w:val="InternetLink"/>
                  <w:rFonts w:ascii="Times New Roman;serif" w:hAnsi="Times New Roman;serif"/>
                  <w:b w:val="false"/>
                  <w:color w:val="0000FF"/>
                  <w:sz w:val="20"/>
                  <w:u w:val="singl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53adb65ecae4e9092d1b5ce5c0e462b_205">
              <w:r>
                <w:rPr>
                  <w:rStyle w:val="InternetLink"/>
                  <w:rFonts w:ascii="Times New Roman;serif" w:hAnsi="Times New Roman;serif"/>
                  <w:b w:val="false"/>
                  <w:color w:val="0000FF"/>
                  <w:sz w:val="20"/>
                  <w:u w:val="single"/>
                </w:rPr>
                <w:t>63</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3adb65ecae4e9092d1b5ce5c0e462b_208">
              <w:r>
                <w:rPr>
                  <w:rStyle w:val="InternetLink"/>
                  <w:rFonts w:ascii="Times New Roman;serif" w:hAnsi="Times New Roman;serif"/>
                  <w:b w:val="false"/>
                  <w:color w:val="0000FF"/>
                  <w:sz w:val="20"/>
                  <w:u w:val="single"/>
                </w:rPr>
                <w:t>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53adb65ecae4e9092d1b5ce5c0e462b_208">
              <w:r>
                <w:rPr>
                  <w:rStyle w:val="InternetLink"/>
                  <w:rFonts w:ascii="Times New Roman;serif" w:hAnsi="Times New Roman;serif"/>
                  <w:b w:val="false"/>
                  <w:color w:val="0000FF"/>
                  <w:sz w:val="20"/>
                  <w:u w:val="single"/>
                </w:rPr>
                <w:t>63</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3adb65ecae4e9092d1b5ce5c0e462b_211">
              <w:r>
                <w:rPr>
                  <w:rStyle w:val="InternetLink"/>
                  <w:rFonts w:ascii="Times New Roman;serif" w:hAnsi="Times New Roman;serif"/>
                  <w:b w:val="false"/>
                  <w:color w:val="0000FF"/>
                  <w:sz w:val="20"/>
                  <w:u w:val="single"/>
                </w:rPr>
                <w:t>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53adb65ecae4e9092d1b5ce5c0e462b_211">
              <w:r>
                <w:rPr>
                  <w:rStyle w:val="InternetLink"/>
                  <w:rFonts w:ascii="Times New Roman;serif" w:hAnsi="Times New Roman;serif"/>
                  <w:b w:val="false"/>
                  <w:color w:val="0000FF"/>
                  <w:sz w:val="20"/>
                  <w:u w:val="single"/>
                </w:rPr>
                <w:t>63</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3adb65ecae4e9092d1b5ce5c0e462b_214">
              <w:r>
                <w:rPr>
                  <w:rStyle w:val="InternetLink"/>
                  <w:rFonts w:ascii="Times New Roman;serif" w:hAnsi="Times New Roman;serif"/>
                  <w:b w:val="false"/>
                  <w:color w:val="0000FF"/>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53adb65ecae4e9092d1b5ce5c0e462b_214">
              <w:r>
                <w:rPr>
                  <w:rStyle w:val="InternetLink"/>
                  <w:rFonts w:ascii="Times New Roman;serif" w:hAnsi="Times New Roman;serif"/>
                  <w:b w:val="false"/>
                  <w:color w:val="0000FF"/>
                  <w:sz w:val="20"/>
                  <w:u w:val="single"/>
                </w:rPr>
                <w:t>63</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3adb65ecae4e9092d1b5ce5c0e462b_217">
              <w:r>
                <w:rPr>
                  <w:rStyle w:val="InternetLink"/>
                  <w:rFonts w:ascii="Times New Roman;serif" w:hAnsi="Times New Roman;serif"/>
                  <w:b w:val="false"/>
                  <w:color w:val="0000FF"/>
                  <w:sz w:val="20"/>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53adb65ecae4e9092d1b5ce5c0e462b_217">
              <w:r>
                <w:rPr>
                  <w:rStyle w:val="InternetLink"/>
                  <w:rFonts w:ascii="Times New Roman;serif" w:hAnsi="Times New Roman;serif"/>
                  <w:b w:val="false"/>
                  <w:color w:val="0000FF"/>
                  <w:sz w:val="20"/>
                  <w:u w:val="single"/>
                </w:rPr>
                <w:t>64</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1"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953adb65ecae4e9092d1b5ce5c0e462b_220">
              <w:r>
                <w:rPr>
                  <w:rStyle w:val="InternetLink"/>
                  <w:rFonts w:ascii="Times New Roman;serif" w:hAnsi="Times New Roman;serif"/>
                  <w:b w:val="false"/>
                  <w:color w:val="0000FF"/>
                  <w:sz w:val="20"/>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53adb65ecae4e9092d1b5ce5c0e462b_220">
              <w:r>
                <w:rPr>
                  <w:rStyle w:val="InternetLink"/>
                  <w:rFonts w:ascii="Times New Roman;serif" w:hAnsi="Times New Roman;serif"/>
                  <w:b w:val="false"/>
                  <w:color w:val="0000FF"/>
                  <w:sz w:val="20"/>
                  <w:u w:val="single"/>
                </w:rPr>
                <w:t>65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Glossary of Terms</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The following abbreviations or acronyms used in this Quarterly Report on Form 10-Q (this </w:t>
      </w:r>
      <w:r>
        <w:rPr>
          <w:color w:val="000000"/>
        </w:rPr>
        <w:t>“</w:t>
      </w:r>
      <w:r>
        <w:rPr>
          <w:rFonts w:ascii="Times New Roman;serif" w:hAnsi="Times New Roman;serif"/>
          <w:b w:val="false"/>
          <w:color w:val="000000"/>
          <w:sz w:val="20"/>
        </w:rPr>
        <w:t>Report</w:t>
      </w:r>
      <w:r>
        <w:rPr>
          <w:color w:val="000000"/>
        </w:rPr>
        <w:t>”</w:t>
      </w:r>
      <w:r>
        <w:rPr>
          <w:rFonts w:ascii="Times New Roman;serif" w:hAnsi="Times New Roman;serif"/>
          <w:b w:val="false"/>
          <w:color w:val="000000"/>
          <w:sz w:val="20"/>
        </w:rPr>
        <w:t>) are defined below:</w:t>
      </w:r>
    </w:p>
    <w:tbl>
      <w:tblPr>
        <w:tblW w:w="10205" w:type="dxa"/>
        <w:jc w:val="left"/>
        <w:tblInd w:w="0" w:type="dxa"/>
        <w:tblLayout w:type="fixed"/>
        <w:tblCellMar>
          <w:top w:w="28" w:type="dxa"/>
          <w:left w:w="28" w:type="dxa"/>
          <w:bottom w:w="28" w:type="dxa"/>
          <w:right w:w="28" w:type="dxa"/>
        </w:tblCellMar>
      </w:tblPr>
      <w:tblGrid>
        <w:gridCol w:w="832"/>
        <w:gridCol w:w="732"/>
        <w:gridCol w:w="734"/>
        <w:gridCol w:w="109"/>
        <w:gridCol w:w="109"/>
        <w:gridCol w:w="109"/>
        <w:gridCol w:w="2514"/>
        <w:gridCol w:w="2095"/>
        <w:gridCol w:w="2971"/>
      </w:tblGrid>
      <w:tr>
        <w:trPr/>
        <w:tc>
          <w:tcPr>
            <w:tcW w:w="8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r>
      <w:tr>
        <w:trPr/>
        <w:tc>
          <w:tcPr>
            <w:tcW w:w="22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Abbreviation or Acronym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Definition</w:t>
            </w:r>
          </w:p>
        </w:tc>
      </w:tr>
      <w:tr>
        <w:trPr/>
        <w:tc>
          <w:tcPr>
            <w:tcW w:w="22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2024 Credit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credit agreement the Company entered into on May 24, 2024</w:t>
            </w:r>
          </w:p>
        </w:tc>
      </w:tr>
      <w:tr>
        <w:trPr/>
        <w:tc>
          <w:tcPr>
            <w:tcW w:w="22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CoStar Group's Annual Report on Form 10-K for the year ended December 31, 2025 filed with the SEC on February 26, 2026</w:t>
            </w:r>
          </w:p>
        </w:tc>
      </w:tr>
      <w:tr>
        <w:trPr/>
        <w:tc>
          <w:tcPr>
            <w:tcW w:w="22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CoStar Group, Inc. 2025 Stock Incentive Plan, adopted by the Board of Directors on April 28, 2025 and approved by stockholders on June 26, 2025</w:t>
            </w:r>
          </w:p>
        </w:tc>
      </w:tr>
      <w:tr>
        <w:trPr/>
        <w:tc>
          <w:tcPr>
            <w:tcW w:w="229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2026 ASR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Accelerated Share Repurchase Program established in 2026</w:t>
            </w:r>
          </w:p>
        </w:tc>
      </w:tr>
      <w:tr>
        <w:trPr/>
        <w:tc>
          <w:tcPr>
            <w:tcW w:w="229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Australian dollars</w:t>
            </w:r>
          </w:p>
        </w:tc>
      </w:tr>
      <w:tr>
        <w:trPr/>
        <w:tc>
          <w:tcPr>
            <w:tcW w:w="22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Artificial intelligence</w:t>
            </w:r>
          </w:p>
        </w:tc>
      </w:tr>
      <w:tr>
        <w:trPr/>
        <w:tc>
          <w:tcPr>
            <w:tcW w:w="229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AI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AI and machine learning technologies</w:t>
            </w:r>
          </w:p>
        </w:tc>
      </w:tr>
      <w:tr>
        <w:trPr/>
        <w:tc>
          <w:tcPr>
            <w:tcW w:w="22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AOMs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Structured equity vehicles operating under Domain's agent ownership model, which function as strategic partnership tools providing residential and commercial real estate agencies</w:t>
              <w:br/>
              <w:t>an economic stake in Domain-affiliated entities and creating a mechanism to reward long-term</w:t>
              <w:br/>
              <w:t>engagement and performance through profit-sharing rather than traditional commissions or</w:t>
              <w:br/>
              <w:t>rebates</w:t>
            </w:r>
          </w:p>
        </w:tc>
      </w:tr>
      <w:tr>
        <w:trPr/>
        <w:tc>
          <w:tcPr>
            <w:tcW w:w="22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Accounting Standards Codification</w:t>
            </w:r>
          </w:p>
        </w:tc>
      </w:tr>
      <w:tr>
        <w:trPr/>
        <w:tc>
          <w:tcPr>
            <w:tcW w:w="22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Accounting Standards Update</w:t>
            </w:r>
          </w:p>
        </w:tc>
      </w:tr>
      <w:tr>
        <w:trPr/>
        <w:tc>
          <w:tcPr>
            <w:tcW w:w="229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Base erosion and anti-abuse minimum tax</w:t>
            </w:r>
          </w:p>
        </w:tc>
      </w:tr>
      <w:tr>
        <w:trPr/>
        <w:tc>
          <w:tcPr>
            <w:tcW w:w="22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CoStar Group Board of Directors</w:t>
            </w:r>
          </w:p>
        </w:tc>
      </w:tr>
      <w:tr>
        <w:trPr/>
        <w:tc>
          <w:tcPr>
            <w:tcW w:w="229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Brown Defendants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Matterport, Gores Holdings VI, Inc. (now known as Matterport, LLC), Maker Merger Sub Inc., Maker Merger Sub II, LLC, and then-Matterport directors R.J. Pittman, David Gausebeck, Matt Bell, Peter Hebert, Jason Krikorian, Carlos Kokron, and Michael Gustafson</w:t>
            </w:r>
          </w:p>
        </w:tc>
      </w:tr>
      <w:tr>
        <w:trPr/>
        <w:tc>
          <w:tcPr>
            <w:tcW w:w="229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Brown Judgment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Chancery Court awarded plaintiff William J. Brown, a former employee and a stockholder of Matterport, $79 million plus pre- and post-judgment interest as damages for losses caused by Matterport’s initial refusal to issue freely transferable shares</w:t>
            </w:r>
          </w:p>
        </w:tc>
      </w:tr>
      <w:tr>
        <w:trPr/>
        <w:tc>
          <w:tcPr>
            <w:tcW w:w="229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Chancery Court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Court of Chancery of the State of Delaware</w:t>
            </w:r>
          </w:p>
        </w:tc>
      </w:tr>
      <w:tr>
        <w:trPr/>
        <w:tc>
          <w:tcPr>
            <w:tcW w:w="229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CODM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Chief Operating Decision Maker</w:t>
            </w:r>
          </w:p>
        </w:tc>
      </w:tr>
      <w:tr>
        <w:trPr/>
        <w:tc>
          <w:tcPr>
            <w:tcW w:w="229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CoStar Group (also the “Company,” “we,” “us,” or “our”)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legal entity, CoStar Group, Inc., a Delaware corporation, one or more of its consolidated subsidiaries or operating segments, or the entirety of CoStar Group, Inc. and its consolidated subsidiaries</w:t>
            </w:r>
          </w:p>
        </w:tc>
      </w:tr>
      <w:tr>
        <w:trPr/>
        <w:tc>
          <w:tcPr>
            <w:tcW w:w="22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CoStar Group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 share of the common stock of the Company, par value $0.01 per share</w:t>
            </w:r>
          </w:p>
        </w:tc>
      </w:tr>
      <w:tr>
        <w:trPr/>
        <w:tc>
          <w:tcPr>
            <w:tcW w:w="22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legal entity CoStar Realty Information, Inc., a Delaware corporation, a wholly-owned subsidiary of CoStar Group, and the Company's primary operating entity in the United States</w:t>
            </w:r>
          </w:p>
        </w:tc>
      </w:tr>
      <w:tr>
        <w:trPr/>
        <w:tc>
          <w:tcPr>
            <w:tcW w:w="229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Domain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0"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Domain Holdings Australia Pty Limited (formerly Domain Holdings Australia Limited) and the products it sells</w:t>
            </w:r>
          </w:p>
        </w:tc>
      </w:tr>
      <w:tr>
        <w:trPr/>
        <w:tc>
          <w:tcPr>
            <w:tcW w:w="22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Domain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CoStar Group's acquisition of Domain completed on August 27, 2025, pursuant to the Scheme Implementation Deed</w:t>
            </w:r>
          </w:p>
        </w:tc>
      </w:tr>
      <w:tr>
        <w:trPr/>
        <w:tc>
          <w:tcPr>
            <w:tcW w:w="229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Domain Proposal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non-binding indicative proposal to acquire 100% of the issued capital of Domain by way of scheme of arrangement for a cash consideration of A$4.43 per ordinary share of Domain</w:t>
            </w:r>
          </w:p>
        </w:tc>
      </w:tr>
      <w:tr>
        <w:trPr/>
        <w:tc>
          <w:tcPr>
            <w:tcW w:w="22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Deferred Stock Units</w:t>
            </w:r>
          </w:p>
        </w:tc>
      </w:tr>
      <w:tr>
        <w:trPr/>
        <w:tc>
          <w:tcPr>
            <w:tcW w:w="22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income (loss) before interest income or expense, net; other income or expense, net; income taxes; depreciation; and amortization</w:t>
            </w:r>
          </w:p>
        </w:tc>
      </w:tr>
      <w:tr>
        <w:trPr/>
        <w:tc>
          <w:tcPr>
            <w:tcW w:w="22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Earnings Per Share</w:t>
            </w:r>
          </w:p>
        </w:tc>
      </w:tr>
      <w:tr>
        <w:trPr/>
        <w:tc>
          <w:tcPr>
            <w:tcW w:w="22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r>
      <w:tr>
        <w:trPr/>
        <w:tc>
          <w:tcPr>
            <w:tcW w:w="22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EURIBOR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Euro Interbank Offered Rate</w:t>
            </w:r>
          </w:p>
        </w:tc>
      </w:tr>
      <w:tr>
        <w:trPr/>
        <w:tc>
          <w:tcPr>
            <w:tcW w:w="229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Exchange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Securities Exchange Act of 1934, as amended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20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627"/>
        <w:gridCol w:w="542"/>
        <w:gridCol w:w="543"/>
        <w:gridCol w:w="109"/>
        <w:gridCol w:w="109"/>
        <w:gridCol w:w="109"/>
        <w:gridCol w:w="2684"/>
        <w:gridCol w:w="2265"/>
        <w:gridCol w:w="3217"/>
      </w:tblGrid>
      <w:tr>
        <w:trPr/>
        <w:tc>
          <w:tcPr>
            <w:tcW w:w="62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3217" w:type="dxa"/>
            <w:tcBorders/>
            <w:vAlign w:val="center"/>
          </w:tcPr>
          <w:p>
            <w:pPr>
              <w:pStyle w:val="TableContents"/>
              <w:bidi w:val="0"/>
              <w:spacing w:before="0" w:after="283"/>
              <w:jc w:val="left"/>
              <w:rPr>
                <w:sz w:val="4"/>
                <w:szCs w:val="4"/>
              </w:rPr>
            </w:pPr>
            <w:r>
              <w:rPr>
                <w:sz w:val="4"/>
                <w:szCs w:val="4"/>
              </w:rPr>
            </w:r>
          </w:p>
        </w:tc>
      </w:tr>
      <w:tr>
        <w:trPr/>
        <w:tc>
          <w:tcPr>
            <w:tcW w:w="17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Abbreviation or Acronym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Definition</w:t>
            </w:r>
          </w:p>
        </w:tc>
      </w:tr>
      <w:tr>
        <w:trPr/>
        <w:tc>
          <w:tcPr>
            <w:tcW w:w="1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FASB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Financial Accounting Standards Board</w:t>
            </w:r>
          </w:p>
        </w:tc>
      </w:tr>
      <w:tr>
        <w:trPr/>
        <w:tc>
          <w:tcPr>
            <w:tcW w:w="171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FDII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Foreign Derived Intangible Income</w:t>
            </w:r>
          </w:p>
        </w:tc>
      </w:tr>
      <w:tr>
        <w:trPr/>
        <w:tc>
          <w:tcPr>
            <w:tcW w:w="1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Generally accepted accounting principles in the U.S.</w:t>
            </w:r>
          </w:p>
        </w:tc>
      </w:tr>
      <w:tr>
        <w:trPr/>
        <w:tc>
          <w:tcPr>
            <w:tcW w:w="1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GILTI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Global intangible low-taxed income inclusion</w:t>
            </w:r>
          </w:p>
        </w:tc>
      </w:tr>
      <w:tr>
        <w:trPr/>
        <w:tc>
          <w:tcPr>
            <w:tcW w:w="171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Gores Transaction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Gores merger transaction and the Agreement and the Plan of Merger thereunder, the "Gores Merger Agreement"</w:t>
            </w:r>
          </w:p>
        </w:tc>
      </w:tr>
      <w:tr>
        <w:trPr/>
        <w:tc>
          <w:tcPr>
            <w:tcW w:w="1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Homes.com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One of the flagship brands of our residential products and a homes for-sale listings site, which provides marketing for residential real estate agents and brokers and allows homebuyers to view residential property listings, research communities, and connect with real estate agents and brokers</w:t>
            </w:r>
          </w:p>
        </w:tc>
      </w:tr>
      <w:tr>
        <w:trPr/>
        <w:tc>
          <w:tcPr>
            <w:tcW w:w="1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H.R.1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bill to provide for reconciliation pursuant to Title II of H. Con. Res. 14, commonly referred to as the One Big Beautiful Bill Act, and signed into law on July 4, 2025</w:t>
            </w:r>
          </w:p>
        </w:tc>
      </w:tr>
      <w:tr>
        <w:trPr/>
        <w:tc>
          <w:tcPr>
            <w:tcW w:w="1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Matching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Awards of matching restricted stock units awarded under the Company's Management Stock Purchase Plan </w:t>
            </w:r>
          </w:p>
        </w:tc>
      </w:tr>
      <w:tr>
        <w:trPr/>
        <w:tc>
          <w:tcPr>
            <w:tcW w:w="1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Matterport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legal entity Matterport, LLC, formerly known as Matterport Inc., a Delaware corporation and provider of a technology platform that uses spatial data to transform physical buildings and spaces into dimensionally accurate, digital images</w:t>
            </w:r>
          </w:p>
        </w:tc>
      </w:tr>
      <w:tr>
        <w:trPr/>
        <w:tc>
          <w:tcPr>
            <w:tcW w:w="171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Matterport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CoStar Group's acquisition of Matterport completed on February 28, 2025, pursuant to the Matterport Merger Agreement</w:t>
            </w:r>
          </w:p>
        </w:tc>
      </w:tr>
      <w:tr>
        <w:trPr/>
        <w:tc>
          <w:tcPr>
            <w:tcW w:w="1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Matterport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Matterport Class A common stock, par value $0.0001 per share</w:t>
            </w:r>
          </w:p>
        </w:tc>
      </w:tr>
      <w:tr>
        <w:trPr/>
        <w:tc>
          <w:tcPr>
            <w:tcW w:w="171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Matterport Merger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Agreement and Plan of Merger and Reorganization between CoStar Group and Matterport, Matrix Merger Sub I LLC, and Matrix Merger Sub II LLC entered into on April 21, 2024</w:t>
            </w:r>
          </w:p>
        </w:tc>
      </w:tr>
      <w:tr>
        <w:trPr/>
        <w:tc>
          <w:tcPr>
            <w:tcW w:w="171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Matterport Merger Exchange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ratio of 0.03552 which was determined by the Matterport Merger Agreement and was set on the collar floor as the volume-weighted average price at which the CoStar Group Shares traded on the Nasdaq Global Select Market for the 20 consecutive Trading Days was below the Floor Price of a symmetrical collar of $77.42</w:t>
            </w:r>
          </w:p>
        </w:tc>
      </w:tr>
      <w:tr>
        <w:trPr/>
        <w:tc>
          <w:tcPr>
            <w:tcW w:w="1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MLSs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Multiple listing services</w:t>
            </w:r>
          </w:p>
        </w:tc>
      </w:tr>
      <w:tr>
        <w:trPr/>
        <w:tc>
          <w:tcPr>
            <w:tcW w:w="1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MSPP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Management Stock Purchase Plan</w:t>
            </w:r>
          </w:p>
        </w:tc>
      </w:tr>
      <w:tr>
        <w:trPr/>
        <w:tc>
          <w:tcPr>
            <w:tcW w:w="1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Noncontrolling interest</w:t>
            </w:r>
          </w:p>
        </w:tc>
      </w:tr>
      <w:tr>
        <w:trPr/>
        <w:tc>
          <w:tcPr>
            <w:tcW w:w="171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OnTheMarket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legal entity OnTheMarket Limited, the operator of onthemarket.com, a U.K. residential property portal</w:t>
            </w:r>
          </w:p>
        </w:tc>
      </w:tr>
      <w:tr>
        <w:trPr/>
        <w:tc>
          <w:tcPr>
            <w:tcW w:w="1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Prior Stock Repurchase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stock repurchase program the Board of Directors approved in February 2025 that authorizes the repurchase of up to $500 million CoStar Group Shares</w:t>
            </w:r>
          </w:p>
        </w:tc>
      </w:tr>
      <w:tr>
        <w:trPr/>
        <w:tc>
          <w:tcPr>
            <w:tcW w:w="1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Restricted Stock Awards with market conditions</w:t>
            </w:r>
          </w:p>
        </w:tc>
      </w:tr>
      <w:tr>
        <w:trPr/>
        <w:tc>
          <w:tcPr>
            <w:tcW w:w="1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Restricted Stock Units with market conditions</w:t>
            </w:r>
          </w:p>
        </w:tc>
      </w:tr>
      <w:tr>
        <w:trPr/>
        <w:tc>
          <w:tcPr>
            <w:tcW w:w="1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Right-of-use</w:t>
            </w:r>
          </w:p>
        </w:tc>
      </w:tr>
      <w:tr>
        <w:trPr/>
        <w:tc>
          <w:tcPr>
            <w:tcW w:w="1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Restricted Stock Awards</w:t>
            </w:r>
          </w:p>
        </w:tc>
      </w:tr>
      <w:tr>
        <w:trPr/>
        <w:tc>
          <w:tcPr>
            <w:tcW w:w="1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Restricted Stock Units</w:t>
            </w:r>
          </w:p>
        </w:tc>
      </w:tr>
      <w:tr>
        <w:trPr/>
        <w:tc>
          <w:tcPr>
            <w:tcW w:w="1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Software as a Service</w:t>
            </w:r>
          </w:p>
        </w:tc>
      </w:tr>
      <w:tr>
        <w:trPr/>
        <w:tc>
          <w:tcPr>
            <w:tcW w:w="1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U.S. Securities and Exchange Commission</w:t>
            </w:r>
          </w:p>
        </w:tc>
      </w:tr>
      <w:tr>
        <w:trPr/>
        <w:tc>
          <w:tcPr>
            <w:tcW w:w="171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Securities Act of 1933, as amended</w:t>
            </w:r>
          </w:p>
        </w:tc>
      </w:tr>
      <w:tr>
        <w:trPr/>
        <w:tc>
          <w:tcPr>
            <w:tcW w:w="1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2.800% notes issued by CoStar Group due July 15, 2030</w:t>
            </w:r>
          </w:p>
        </w:tc>
      </w:tr>
      <w:tr>
        <w:trPr/>
        <w:tc>
          <w:tcPr>
            <w:tcW w:w="1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Secured Overnight Financing Rate</w:t>
            </w:r>
          </w:p>
        </w:tc>
      </w:tr>
      <w:tr>
        <w:trPr/>
        <w:tc>
          <w:tcPr>
            <w:tcW w:w="1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Sterling Overnight Index Average </w:t>
            </w:r>
          </w:p>
        </w:tc>
      </w:tr>
      <w:tr>
        <w:trPr/>
        <w:tc>
          <w:tcPr>
            <w:tcW w:w="171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 Repurchase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stock repurchase program the Board of Directors approved in December 2025 that authorizes the repurchase of up to $1.5 billion CoStar Group Shares</w:t>
            </w:r>
          </w:p>
        </w:tc>
      </w:tr>
      <w:tr>
        <w:trPr/>
        <w:tc>
          <w:tcPr>
            <w:tcW w:w="1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Company's brand for benchmarking hotel performance and providing market insights to the hospitality industry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20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569"/>
        <w:gridCol w:w="501"/>
        <w:gridCol w:w="502"/>
        <w:gridCol w:w="109"/>
        <w:gridCol w:w="109"/>
        <w:gridCol w:w="109"/>
        <w:gridCol w:w="2427"/>
        <w:gridCol w:w="2427"/>
        <w:gridCol w:w="3452"/>
      </w:tblGrid>
      <w:tr>
        <w:trPr/>
        <w:tc>
          <w:tcPr>
            <w:tcW w:w="56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c>
          <w:tcPr>
            <w:tcW w:w="3452" w:type="dxa"/>
            <w:tcBorders/>
            <w:vAlign w:val="center"/>
          </w:tcPr>
          <w:p>
            <w:pPr>
              <w:pStyle w:val="TableContents"/>
              <w:bidi w:val="0"/>
              <w:spacing w:before="0" w:after="283"/>
              <w:jc w:val="left"/>
              <w:rPr>
                <w:sz w:val="4"/>
                <w:szCs w:val="4"/>
              </w:rPr>
            </w:pPr>
            <w:r>
              <w:rPr>
                <w:sz w:val="4"/>
                <w:szCs w:val="4"/>
              </w:rPr>
            </w:r>
          </w:p>
        </w:tc>
      </w:tr>
      <w:tr>
        <w:trPr/>
        <w:tc>
          <w:tcPr>
            <w:tcW w:w="15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Abbreviation or Acronym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Definition</w:t>
            </w:r>
          </w:p>
        </w:tc>
      </w:tr>
      <w:tr>
        <w:trPr/>
        <w:tc>
          <w:tcPr>
            <w:tcW w:w="15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SOFR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forward-looking SOFR term rates administered by CME Group Benchmark Administration Limited</w:t>
            </w:r>
          </w:p>
        </w:tc>
      </w:tr>
      <w:tr>
        <w:trPr/>
        <w:tc>
          <w:tcPr>
            <w:tcW w:w="15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Transfer Restrictions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transfer restrictions in connection with the Gores Transaction</w:t>
            </w:r>
          </w:p>
        </w:tc>
      </w:tr>
      <w:tr>
        <w:trPr/>
        <w:tc>
          <w:tcPr>
            <w:tcW w:w="15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TSR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shareholder return</w:t>
            </w:r>
          </w:p>
        </w:tc>
      </w:tr>
      <w:tr>
        <w:trPr/>
        <w:tc>
          <w:tcPr>
            <w:tcW w:w="15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United Kingdom of Great Britain and Northern Ireland</w:t>
            </w:r>
          </w:p>
        </w:tc>
      </w:tr>
      <w:tr>
        <w:trPr/>
        <w:tc>
          <w:tcPr>
            <w:tcW w:w="15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United States of America</w:t>
            </w:r>
          </w:p>
        </w:tc>
      </w:tr>
      <w:tr>
        <w:trPr/>
        <w:tc>
          <w:tcPr>
            <w:tcW w:w="15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Variable Interest Entity</w:t>
            </w:r>
          </w:p>
        </w:tc>
      </w:tr>
      <w:tr>
        <w:trPr/>
        <w:tc>
          <w:tcPr>
            <w:tcW w:w="15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Visual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legal entity Visual Lease, LLC, a Delaware limited liability company and operator of Visual Lease, a SaaS platform for integrated lease management and lease accounting </w:t>
            </w:r>
          </w:p>
        </w:tc>
      </w:tr>
      <w:tr>
        <w:trPr/>
        <w:tc>
          <w:tcPr>
            <w:tcW w:w="15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Visual Lease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CoStar Group's acquisition of all of the outstanding equity interest in Visual Lease completed on November 1, 2024, pursuant to the Visual Lease Merger Agreement</w:t>
            </w:r>
          </w:p>
        </w:tc>
      </w:tr>
      <w:tr>
        <w:trPr/>
        <w:tc>
          <w:tcPr>
            <w:tcW w:w="15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Visual Lease Merger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Agreement and Plan of Merger dated as of October 18, 2024, between CRI; Neptune Merger Sub; Visual Lease, LLC; and Shareholder Representative Services LLC as the Holder Representative, pursuant to which, among other things, and subject to its terms, Neptune Merger Sub merged with and into Visual Lease with Visual Lease surviving the merger as a wholly owned subsidiary of CRI</w:t>
            </w:r>
          </w:p>
        </w:tc>
      </w:tr>
      <w:tr>
        <w:trPr/>
        <w:tc>
          <w:tcPr>
            <w:tcW w:w="15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Zonda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Bora Inc. and its subsidiaries, a leading provider of new home construction data, homebuilder software, and residential real estate marketplaces</w:t>
            </w:r>
          </w:p>
        </w:tc>
      </w:tr>
      <w:tr>
        <w:trPr/>
        <w:tc>
          <w:tcPr>
            <w:tcW w:w="15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Zonda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CoStar Group's proposed acquisition of Zonda pursuant to the Zonda Agreement</w:t>
            </w:r>
          </w:p>
        </w:tc>
      </w:tr>
      <w:tr>
        <w:trPr/>
        <w:tc>
          <w:tcPr>
            <w:tcW w:w="15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Zonda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Stock Purchase Agreement entered into on May 28, 2026, between CRI and Bora, Inc. and Bora Holdings Group, L.P.</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1080"/>
        <w:jc w:val="both"/>
        <w:rPr>
          <w:rFonts w:ascii="Times New Roman;serif" w:hAnsi="Times New Roman;serif"/>
          <w:b/>
          <w:color w:val="000000"/>
          <w:sz w:val="20"/>
        </w:rPr>
      </w:pPr>
      <w:r>
        <w:rPr>
          <w:rFonts w:ascii="Times New Roman;serif" w:hAnsi="Times New Roman;serif"/>
          <w:b/>
          <w:color w:val="000000"/>
          <w:sz w:val="20"/>
        </w:rPr>
        <w:t>Item 1.Financial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w:t>
      </w:r>
      <w:bookmarkStart w:id="1" w:name="i55a5393b8067422e86e780aa0e7e47b1_146"/>
      <w:bookmarkEnd w:id="1"/>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(unaudited)</w:t>
      </w:r>
    </w:p>
    <w:tbl>
      <w:tblPr>
        <w:tblW w:w="9735" w:type="dxa"/>
        <w:jc w:val="left"/>
        <w:tblInd w:w="0" w:type="dxa"/>
        <w:tblLayout w:type="fixed"/>
        <w:tblCellMar>
          <w:top w:w="28" w:type="dxa"/>
          <w:left w:w="28" w:type="dxa"/>
          <w:bottom w:w="28" w:type="dxa"/>
          <w:right w:w="28" w:type="dxa"/>
        </w:tblCellMar>
      </w:tblPr>
      <w:tblGrid>
        <w:gridCol w:w="1871"/>
        <w:gridCol w:w="1649"/>
        <w:gridCol w:w="1655"/>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4"/>
      </w:tblGrid>
      <w:tr>
        <w:trPr/>
        <w:tc>
          <w:tcPr>
            <w:tcW w:w="1871"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(excluding customer base amortization)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development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base amortization</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diluted</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Weighted-average outstanding shares - basic</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Weighted-average outstanding shares - diluted</w:t>
            </w:r>
          </w:p>
        </w:tc>
        <w:tc>
          <w:tcPr>
            <w:tcW w:w="72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415.1 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(unaudited)</w:t>
      </w:r>
    </w:p>
    <w:tbl>
      <w:tblPr>
        <w:tblW w:w="7399" w:type="dxa"/>
        <w:jc w:val="left"/>
        <w:tblInd w:w="0" w:type="dxa"/>
        <w:tblLayout w:type="fixed"/>
        <w:tblCellMar>
          <w:top w:w="28" w:type="dxa"/>
          <w:left w:w="28" w:type="dxa"/>
          <w:bottom w:w="28" w:type="dxa"/>
          <w:right w:w="28" w:type="dxa"/>
        </w:tblCellMar>
      </w:tblPr>
      <w:tblGrid>
        <w:gridCol w:w="1217"/>
        <w:gridCol w:w="1067"/>
        <w:gridCol w:w="1076"/>
        <w:gridCol w:w="234"/>
        <w:gridCol w:w="400"/>
        <w:gridCol w:w="121"/>
        <w:gridCol w:w="121"/>
        <w:gridCol w:w="121"/>
        <w:gridCol w:w="121"/>
        <w:gridCol w:w="234"/>
        <w:gridCol w:w="400"/>
        <w:gridCol w:w="121"/>
        <w:gridCol w:w="109"/>
        <w:gridCol w:w="109"/>
        <w:gridCol w:w="109"/>
        <w:gridCol w:w="211"/>
        <w:gridCol w:w="466"/>
        <w:gridCol w:w="109"/>
        <w:gridCol w:w="109"/>
        <w:gridCol w:w="109"/>
        <w:gridCol w:w="109"/>
        <w:gridCol w:w="211"/>
        <w:gridCol w:w="361"/>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6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firstLine="360"/>
        <w:jc w:val="center"/>
        <w:rPr/>
      </w:pPr>
      <w:r>
        <w:rPr/>
      </w:r>
    </w:p>
    <w:p>
      <w:pPr>
        <w:pStyle w:val="TextBody"/>
        <w:bidi w:val="0"/>
        <w:spacing w:lineRule="auto" w:line="288" w:before="0" w:after="20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w:t>
      </w:r>
      <w:bookmarkStart w:id="2" w:name="if727d9467bde4b22952666f486baaf5d_88"/>
      <w:bookmarkEnd w:id="2"/>
      <w:r>
        <w:rPr>
          <w:rFonts w:ascii="Times New Roman;serif" w:hAnsi="Times New Roman;serif"/>
          <w:b/>
          <w:color w:val="000000"/>
          <w:sz w:val="20"/>
        </w:rPr>
        <w:t>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(unaudited)</w:t>
      </w:r>
    </w:p>
    <w:tbl>
      <w:tblPr>
        <w:tblW w:w="6993" w:type="dxa"/>
        <w:jc w:val="left"/>
        <w:tblInd w:w="0" w:type="dxa"/>
        <w:tblLayout w:type="fixed"/>
        <w:tblCellMar>
          <w:top w:w="28" w:type="dxa"/>
          <w:left w:w="28" w:type="dxa"/>
          <w:bottom w:w="28" w:type="dxa"/>
          <w:right w:w="28" w:type="dxa"/>
        </w:tblCellMar>
      </w:tblPr>
      <w:tblGrid>
        <w:gridCol w:w="1562"/>
        <w:gridCol w:w="1378"/>
        <w:gridCol w:w="1380"/>
        <w:gridCol w:w="211"/>
        <w:gridCol w:w="721"/>
        <w:gridCol w:w="109"/>
        <w:gridCol w:w="109"/>
        <w:gridCol w:w="109"/>
        <w:gridCol w:w="109"/>
        <w:gridCol w:w="253"/>
        <w:gridCol w:w="867"/>
        <w:gridCol w:w="185"/>
      </w:tblGrid>
      <w:tr>
        <w:trPr/>
        <w:tc>
          <w:tcPr>
            <w:tcW w:w="1562"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2,119 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commission costs,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Deposits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10,538 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04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wages and commissions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accrual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income taxes, net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taxes payable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and other long-term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2,167 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 attributable to CoStar Group</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8,334 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attributable to noncontrolling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8,371 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10,538 </w:t>
            </w:r>
          </w:p>
        </w:tc>
        <w:tc>
          <w:tcPr>
            <w:tcW w:w="1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12"/>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2062" w:type="dxa"/>
        <w:jc w:val="left"/>
        <w:tblInd w:w="0" w:type="dxa"/>
        <w:tblLayout w:type="fixed"/>
        <w:tblCellMar>
          <w:top w:w="28" w:type="dxa"/>
          <w:left w:w="28" w:type="dxa"/>
          <w:bottom w:w="28" w:type="dxa"/>
          <w:right w:w="28" w:type="dxa"/>
        </w:tblCellMar>
      </w:tblPr>
      <w:tblGrid>
        <w:gridCol w:w="634"/>
        <w:gridCol w:w="268"/>
        <w:gridCol w:w="269"/>
        <w:gridCol w:w="278"/>
        <w:gridCol w:w="278"/>
        <w:gridCol w:w="196"/>
        <w:gridCol w:w="109"/>
        <w:gridCol w:w="109"/>
        <w:gridCol w:w="109"/>
        <w:gridCol w:w="248"/>
        <w:gridCol w:w="305"/>
        <w:gridCol w:w="138"/>
        <w:gridCol w:w="109"/>
        <w:gridCol w:w="109"/>
        <w:gridCol w:w="109"/>
        <w:gridCol w:w="198"/>
        <w:gridCol w:w="562"/>
        <w:gridCol w:w="111"/>
        <w:gridCol w:w="109"/>
        <w:gridCol w:w="109"/>
        <w:gridCol w:w="109"/>
        <w:gridCol w:w="196"/>
        <w:gridCol w:w="571"/>
        <w:gridCol w:w="109"/>
        <w:gridCol w:w="109"/>
        <w:gridCol w:w="109"/>
        <w:gridCol w:w="109"/>
        <w:gridCol w:w="328"/>
        <w:gridCol w:w="705"/>
        <w:gridCol w:w="183"/>
        <w:gridCol w:w="109"/>
        <w:gridCol w:w="109"/>
        <w:gridCol w:w="109"/>
        <w:gridCol w:w="196"/>
        <w:gridCol w:w="556"/>
        <w:gridCol w:w="109"/>
        <w:gridCol w:w="109"/>
        <w:gridCol w:w="109"/>
        <w:gridCol w:w="109"/>
        <w:gridCol w:w="249"/>
        <w:gridCol w:w="707"/>
        <w:gridCol w:w="140"/>
        <w:gridCol w:w="109"/>
        <w:gridCol w:w="109"/>
        <w:gridCol w:w="109"/>
        <w:gridCol w:w="310"/>
        <w:gridCol w:w="523"/>
        <w:gridCol w:w="173"/>
        <w:gridCol w:w="109"/>
        <w:gridCol w:w="109"/>
        <w:gridCol w:w="109"/>
        <w:gridCol w:w="196"/>
        <w:gridCol w:w="556"/>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Stockholders’ Equity Attributable to CoStar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Equity Attributable to </w:t>
              <w:br/>
              <w:t>NCI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417.9 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6,410 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8,334 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8,371 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NCI</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grants vested</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grants surrendered</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ESPP and MSPP</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Stock repurchases under stock repurchase programs </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407.1 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6,441 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7,913 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7,951 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noncontrolling interest in AOMs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grants vested</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grants surrendered</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ESPP and MSPP</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 repurchases under stock repurchase programs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June 30, 2026</w:t>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404.8 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6,481 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2,408 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7,932 </w:t>
            </w:r>
          </w:p>
        </w:tc>
        <w:tc>
          <w:tcPr>
            <w:tcW w:w="1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7,945 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firstLine="360"/>
        <w:jc w:val="center"/>
        <w:rPr/>
      </w:pPr>
      <w:r>
        <w:rPr/>
      </w:r>
    </w:p>
    <w:p>
      <w:pPr>
        <w:pStyle w:val="TextBody"/>
        <w:bidi w:val="0"/>
        <w:spacing w:lineRule="auto" w:line="288" w:before="0" w:after="20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1952" w:type="dxa"/>
        <w:jc w:val="left"/>
        <w:tblInd w:w="0" w:type="dxa"/>
        <w:tblLayout w:type="fixed"/>
        <w:tblCellMar>
          <w:top w:w="28" w:type="dxa"/>
          <w:left w:w="28" w:type="dxa"/>
          <w:bottom w:w="28" w:type="dxa"/>
          <w:right w:w="28" w:type="dxa"/>
        </w:tblCellMar>
      </w:tblPr>
      <w:tblGrid>
        <w:gridCol w:w="634"/>
        <w:gridCol w:w="268"/>
        <w:gridCol w:w="269"/>
        <w:gridCol w:w="278"/>
        <w:gridCol w:w="278"/>
        <w:gridCol w:w="196"/>
        <w:gridCol w:w="109"/>
        <w:gridCol w:w="109"/>
        <w:gridCol w:w="109"/>
        <w:gridCol w:w="248"/>
        <w:gridCol w:w="305"/>
        <w:gridCol w:w="138"/>
        <w:gridCol w:w="109"/>
        <w:gridCol w:w="109"/>
        <w:gridCol w:w="109"/>
        <w:gridCol w:w="198"/>
        <w:gridCol w:w="562"/>
        <w:gridCol w:w="111"/>
        <w:gridCol w:w="109"/>
        <w:gridCol w:w="109"/>
        <w:gridCol w:w="109"/>
        <w:gridCol w:w="211"/>
        <w:gridCol w:w="437"/>
        <w:gridCol w:w="118"/>
        <w:gridCol w:w="109"/>
        <w:gridCol w:w="109"/>
        <w:gridCol w:w="109"/>
        <w:gridCol w:w="366"/>
        <w:gridCol w:w="646"/>
        <w:gridCol w:w="204"/>
        <w:gridCol w:w="109"/>
        <w:gridCol w:w="109"/>
        <w:gridCol w:w="109"/>
        <w:gridCol w:w="196"/>
        <w:gridCol w:w="556"/>
        <w:gridCol w:w="109"/>
        <w:gridCol w:w="109"/>
        <w:gridCol w:w="109"/>
        <w:gridCol w:w="109"/>
        <w:gridCol w:w="249"/>
        <w:gridCol w:w="707"/>
        <w:gridCol w:w="140"/>
        <w:gridCol w:w="109"/>
        <w:gridCol w:w="109"/>
        <w:gridCol w:w="109"/>
        <w:gridCol w:w="277"/>
        <w:gridCol w:w="574"/>
        <w:gridCol w:w="155"/>
        <w:gridCol w:w="109"/>
        <w:gridCol w:w="109"/>
        <w:gridCol w:w="109"/>
        <w:gridCol w:w="196"/>
        <w:gridCol w:w="556"/>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Stockholders’ Equity Attributable to CoStar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Equity Attributable to </w:t>
              <w:br/>
              <w:t>NCI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409.5 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5,232 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7,553 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7,553 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grants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grants surrendered</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ESPP and MSPP</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Stock repurchases under stock repurchase programs </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for Matterport Acquisition</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423.2 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6,259 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8,556 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8,556 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grants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grants surrendered</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ESPP and MSPP</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 repurchases under stock repurchase programs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423.3 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6,307 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8,601 </w:t>
            </w:r>
          </w:p>
        </w:tc>
        <w:tc>
          <w:tcPr>
            <w:tcW w:w="1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8,601 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200"/>
        <w:ind w:left="0" w:right="0" w:firstLine="360"/>
        <w:jc w:val="center"/>
        <w:rPr/>
      </w:pPr>
      <w:r>
        <w:rPr/>
      </w:r>
    </w:p>
    <w:p>
      <w:pPr>
        <w:pStyle w:val="TextBody"/>
        <w:bidi w:val="0"/>
        <w:spacing w:lineRule="auto" w:line="288" w:before="0" w:after="20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348" w:type="dxa"/>
        <w:jc w:val="center"/>
        <w:tblInd w:w="0" w:type="dxa"/>
        <w:tblLayout w:type="fixed"/>
        <w:tblCellMar>
          <w:top w:w="28" w:type="dxa"/>
          <w:left w:w="28" w:type="dxa"/>
          <w:bottom w:w="28" w:type="dxa"/>
          <w:right w:w="28" w:type="dxa"/>
        </w:tblCellMar>
      </w:tblPr>
      <w:tblGrid>
        <w:gridCol w:w="2268"/>
        <w:gridCol w:w="1989"/>
        <w:gridCol w:w="1997"/>
        <w:gridCol w:w="196"/>
        <w:gridCol w:w="556"/>
        <w:gridCol w:w="109"/>
        <w:gridCol w:w="109"/>
        <w:gridCol w:w="109"/>
        <w:gridCol w:w="109"/>
        <w:gridCol w:w="196"/>
        <w:gridCol w:w="556"/>
        <w:gridCol w:w="154"/>
      </w:tblGrid>
      <w:tr>
        <w:trPr/>
        <w:tc>
          <w:tcPr>
            <w:tcW w:w="2268"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6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2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activities:</w:t>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to net cash provided by operating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deferred commissions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Non-cash lease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Credit loss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gains on investments and deal-contingent foreign currency forward contracts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activities,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 net of acquisitions:</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other current assets and other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commissions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other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Litigation accrual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payable,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Investing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and settlement of investments and other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equipment, and other assets for new campuses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equity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acquisitions, net of cash acquired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equipment, and other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(1,061)</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restricted stock to satisfy tax withholding obligations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stock</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 options and employee stock purchase plan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noncontrolling interest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financing activities,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foreign currency exchange rates on cash, cash equivalents, and restricted cash</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decrease in cash, cash equivalents, and restricted cash</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at the beginning of period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at the end of period</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3,727 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cash flow disclosures: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paid</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(refund) paid, net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non-cash investing and financing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capital expenditures and non-cash landlord incentives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1.    ORGANIZATION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CoStar Group (the "Company") is a leading global provider of online real estate marketplaces, information, analytics, and 3D digital twin technology in the property markets. The Company has created and compiled a standardized platform of real estate information, analytics, and online marketplaces where industry professionals, consumers of real estate, and the related business communities can continuously interact and facilitate transactions by efficiently accessing and exchanging accurate and standardized real estate-related information. The Company's service offerings span all property types, including office, residential, retail, industrial, multifamily, land, mixed-use, and hospitality. The Company's services are typically distributed to its customers under subscription-based agreements that generally renew automatically and have a minimum term of one year. The Company operates within two operating segments, which are Commercial Real Estate and Residential Real Estate.</w:t>
      </w:r>
    </w:p>
    <w:p>
      <w:pPr>
        <w:pStyle w:val="TextBody"/>
        <w:bidi w:val="0"/>
        <w:spacing w:lineRule="auto" w:line="288" w:before="0" w:after="200"/>
        <w:ind w:left="0" w:right="0" w:firstLine="360"/>
        <w:jc w:val="both"/>
        <w:rPr/>
      </w:pPr>
      <w:r>
        <w:rPr>
          <w:rFonts w:ascii="Times New Roman;serif" w:hAnsi="Times New Roman;serif"/>
          <w:b w:val="false"/>
          <w:color w:val="000000"/>
          <w:sz w:val="20"/>
          <w:shd w:fill="FFFFFF" w:val="clear"/>
        </w:rPr>
        <w:t>The Company acquired</w:t>
      </w:r>
      <w:r>
        <w:rPr>
          <w:color w:val="000000"/>
        </w:rPr>
        <w:t xml:space="preserve"> </w:t>
      </w:r>
      <w:r>
        <w:rPr>
          <w:rFonts w:ascii="Times New Roman;serif" w:hAnsi="Times New Roman;serif"/>
          <w:b w:val="false"/>
          <w:color w:val="000000"/>
          <w:sz w:val="20"/>
        </w:rPr>
        <w:t>Matterport and Domain</w:t>
      </w:r>
      <w:r>
        <w:rPr>
          <w:color w:val="000000"/>
          <w:shd w:fill="FFFFFF" w:val="clear"/>
        </w:rPr>
        <w:t xml:space="preserve"> </w:t>
      </w:r>
      <w:r>
        <w:rPr>
          <w:rFonts w:ascii="Times New Roman;serif" w:hAnsi="Times New Roman;serif"/>
          <w:b w:val="false"/>
          <w:color w:val="000000"/>
          <w:sz w:val="20"/>
          <w:shd w:fill="FFFFFF" w:val="clear"/>
        </w:rPr>
        <w:t>in February 2025 and August 2025, respectively. See Note 4 for further discussion of these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of CoStar Group, Inc., its wholly-owned subsidiaries, and entities in which the Company maintains a controlling financial interest. All intercompany balances and transactions have been eliminated in consolidation. Accounting policies are consistent for each operating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Principles of Consolidation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consolidates those entities that the Company controls through either majority ownership or voting rights and VIEs where it is the primary beneficiary. The Company is deemed the primary beneficiary of a VIE when it has both (a) the power to direct the activities of the VIE that most significantly impact its economic performance and (b) the obligation to absorb losses or the right to receive benefits that could potentially be significant to the VIE.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determining whether the Company is the primary beneficiary, various factors are considered regarding the nature of its involvement with the VIE, including economic interests, voting rights, authority to appoint or remove directors, and ability to authorize key decisions. This analysis also requires assessment of the VIE’s design, including its capital structure, cash flows, and classes of shares.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part of the Domain Acquisition, the Company obtained ownership interests in the AOMs, which are considered VIEs for which the Company is the primary beneficiary. Domain introduced the AOMs to incentivize real estate agents to increase their use of Domain's depth products by allowing agents to share in a portion of Domain's earnings in return for placing premium, higher-value advertisements on the Domain platform. Domain provides corporate services to the VIEs under services agreements. In addition, the Company has issued letters of support to the VIEs, committing to provide financial support in the event that the VIEs are unable to meet their liabilities independently.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June 2026, the Company acquired all of the outstanding ownership interests in certain consolidated AOMs for approximately A$38 million ($26 million), which had a carrying value of A$37 million ($25 million). These transactions were accounted for as equity transactions, with no impact to the condensed consolidated statements of operations. The difference between the fair value of the consideration paid and the respective NCI balance was recognized as a reduction to additional paid-in capital.</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4 for additional details regarding the Domain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Interim Financial Statements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of the Company have been prepared in accordance with GAAP for interim financial information. In the opinion of the Company’s management, the financial statements reflect all adjustments, consisting only of a normal recurring nature, necessary to present fairly the Company’s financial position at June 30, 2026 and December 31, 2025, the results of its operations for the three and six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June 30, 2026 and 2025, its comprehensive income for the three and six months ended June 30, 2026 and 2025, its changes in stockholders' equity for the three and six months ended June 30, 2026 and 2025, and its cash flows for the six months ended June 30, 2026 and 2025.</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notes and other information have been condensed or omitted from the interim financial statements presented in this Report. Therefore, these financial statements should be read in conjunction with the Company’s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Recast of Certain Prior Period Information</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fourth quarter of 2025, the Company changed the composition of its segments from geography-based to product-portfolio-based. This change aligns with the internal reporting used by the CODM for assessing performance and allocating resources. Prior period segment disclosures have been recast to conform to the current presentation, except where it was impracticable to do so. These changes primarily impacted Notes 3 and 12.</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recast of prior period information did not affect the condensed consolidated balance sheets, condensed consolidated statements of operations, or other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amounts reported in the financial statements and accompanying notes. On an ongoing basis, the Company evaluates its estimates and assumptions, including those related to revenue recognition; determination of stand-alone selling prices of various performance obligations; allowance for credit losses; the useful lives and recoverability of long-lived and intangible assets; goodwill impairment assessment; income taxes; accounting for business combinations; stock-based compensation; the Company's incremental borrowing rate and the expected term for its leases; and contingencies, among others. The Company bases these estimates on historical and anticipated results, trends, and various other assumptions that it believes are reasonable, including assumptions as to future events. These estimates form the basis for making judgments about the carrying values of assets and liabilities and recorded revenue and expenses. Actual results could differ from these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is recognized upon transfer of control of promised products or services to customers in an amount that reflects the consideration the Company expects to receive in exchange for those products or services. The Company's revenue contracts can include various combinations of products and services, which are generally capable of being distinct and accounted for as separate performance obligations. Revenue is recognized net of allowances for refunds and returns and any taxes collected from customers, which are subsequently remitted to governmental authorities.</w:t>
      </w:r>
    </w:p>
    <w:p>
      <w:pPr>
        <w:pStyle w:val="TextBody"/>
        <w:bidi w:val="0"/>
        <w:spacing w:lineRule="auto" w:line="288" w:before="0" w:after="20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Nature of Products and Services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derives revenue primarily by providing subscription-based (i) advertising services on its online marketplaces for professional property management companies, property owners, real estate agents and brokers, and landlords and (ii) access to its proprietary database of real estate information, including benchmarking and analytics for the hospitality industry and analytics for lenders. Other subscription-based services include (i) real estate and lease management solutions to commercial customers and real estate investors and (ii) access to its AI-powered spatial data platform to create high-fidelity and high-accuracy digital twins of physical spaces.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Subscription contract rates are generally based on the number of sites, number of users, organization size, the customer’s business focus, geography, the number of properties reported on or analyzed, the number and types of services to which a customer subscribes, the number of properties a customer advertises, the number of digital twins hosted, the number of transactions and average transaction size a broker or agent has closed, and the prominence and placement of a customer's advertised properties in the search results. The Company’s subscription-based licenses, advertising packages, and membership agreements generally renew automatically, and the majority have a term of at least one year. Revenue from subscription-based contracts was approximately 89% and 95% of total revenue for the three months ended June 30, 2026 and 2025, respectively, and approximately 90% and 96% of total revenue for the six months ended June 30, 2026 and 2025, respectively.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also derives revenue from transaction-based services, including: (i) providing premium listings for individual properties on its marketplaces, (ii) providing data capture services to create digital twins, (iii) the sale of Matterport cameras and capture equipment, (iv) Ten-X's auctions, and (v) ancillary products and services that are sold on an ad hoc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analyzes contracts to determine the appropriate revenue recognition using the following steps: (i) identification of contracts with customers, (ii) identification of distinct performance obligations in the contract, (iii) determination of contract transaction price, (iv) allocation of contract transaction price to the performance obligations, and (v) determination of revenue recognition based on timing of satisfaction of the performance obligations.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recognizes revenue upon the satisfaction of its performance obligations (upon transfer of control of promised services to its customers) in an amount that reflects the consideration which it expects to be entitled to in exchange for those services. Revenue from subscription-based services is recognized on a straight-line basis over the term of the agreement. Revenue from premium listings sold on a transactional basis is recognized over the estimated period the advertisements will be active. Revenue from all other transaction-based services is recognized when the promised product or services are delivered, which are detailed in the following table:</w:t>
      </w:r>
    </w:p>
    <w:tbl>
      <w:tblPr>
        <w:tblW w:w="7845" w:type="dxa"/>
        <w:jc w:val="left"/>
        <w:tblInd w:w="0" w:type="dxa"/>
        <w:tblLayout w:type="fixed"/>
        <w:tblCellMar>
          <w:top w:w="28" w:type="dxa"/>
          <w:left w:w="28" w:type="dxa"/>
          <w:bottom w:w="28" w:type="dxa"/>
          <w:right w:w="28" w:type="dxa"/>
        </w:tblCellMar>
      </w:tblPr>
      <w:tblGrid>
        <w:gridCol w:w="852"/>
        <w:gridCol w:w="748"/>
        <w:gridCol w:w="755"/>
        <w:gridCol w:w="1609"/>
        <w:gridCol w:w="1609"/>
        <w:gridCol w:w="2272"/>
      </w:tblGrid>
      <w:tr>
        <w:trPr/>
        <w:tc>
          <w:tcPr>
            <w:tcW w:w="85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Service or Product</w:t>
            </w:r>
          </w:p>
        </w:tc>
        <w:tc>
          <w:tcPr>
            <w:tcW w:w="5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Point in time of transfer</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Matterport capture services</w:t>
            </w:r>
          </w:p>
        </w:tc>
        <w:tc>
          <w:tcPr>
            <w:tcW w:w="5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when the digital twin is available to be accessed</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Matterport cameras</w:t>
            </w:r>
          </w:p>
        </w:tc>
        <w:tc>
          <w:tcPr>
            <w:tcW w:w="5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defined in the customer's contract and generally upon shipment</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Ten-X Auctions</w:t>
            </w:r>
          </w:p>
        </w:tc>
        <w:tc>
          <w:tcPr>
            <w:tcW w:w="5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at the successful closing for the sale of the auctioned property</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 hoc products or services</w:t>
            </w:r>
          </w:p>
        </w:tc>
        <w:tc>
          <w:tcPr>
            <w:tcW w:w="5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when delivered to or available to be used by the customer</w:t>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for sales of Matterport cameras is recorded net of estimates of returns, as buyers are entitled to return the camera within 30 days from the date of purchase for a full refund. These rights are accounted for as variable consideration and recognized as a reduction to the revenue recognized.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limited circumstances, the Company's contracts with customers include promises to transfer multiple goods and services, such as contracts for its subscription-based services and professional services or product sales, digital twin capture services, and subscription-based hosting service. For these contracts, the Company accounts for individual performance obligations separately if they are distinct, which involves the determination of the standalone selling price for each distinct performance obligation.</w:t>
      </w:r>
    </w:p>
    <w:p>
      <w:pPr>
        <w:pStyle w:val="TextBody"/>
        <w:bidi w:val="0"/>
        <w:spacing w:lineRule="auto" w:line="288" w:before="0" w:after="20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Contract Balances and Other Receivables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Deferred revenue results from amounts billed in advance to customers or cash received from customers in advance of the Company's fulfillment of its performance obligations and is recognized as those obligations are satisfied.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Contract assets represent a conditional right to consideration for satisfied performance obligations that become a receivable when the conditions are satisfied. Contract assets are generated when contractual billing schedules differ from revenue recognition timing.</w:t>
      </w:r>
    </w:p>
    <w:p>
      <w:pPr>
        <w:pStyle w:val="TextBody"/>
        <w:bidi w:val="0"/>
        <w:spacing w:lineRule="auto" w:line="288" w:before="0" w:after="20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Assets Recognized from Costs to Obtain a Contract with a Customer</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sales commissions are considered incremental and recoverable costs of obtaining a contract with a customer. Sales commissions incurred for obtaining new contracts are deferred and then amortized as selling and marketing (excluding customer base amortization) expenses over the period of benefit that the Company has determined to be three years. The amortization period was determined based on several factors, including the nature of the technology and proprietary data underlying the services being purchased, customer contract renewal rates, and industry competition. Sales commissions that do not represent incremental costs of obtaining a contract, or that would otherwise be amortized over a period of one year or less, are not subject to capitalization and are recognized as incurred.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3 for further discussion of the Company's revenue recognition.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Cost of Revenue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revenue principally consists of salaries, benefits, bonuses, stock-based compensation expenses, and other indirect costs for the Company's researchers who collect and analyze the real estate data that is the basis for the Company's real estate information, analytics, and online marketplaces services and for employees who support these products. Additionally, cost of revenue includes amortization of acquired trade names, technology, and certain other intangible assets; product hosting costs; credit card and other transaction fees relating to processing customer transactions; cost of data from third-party data sources; costs of capture services; and costs of Matterport cameras sold.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Foreign Currency Translation</w:t>
      </w:r>
    </w:p>
    <w:p>
      <w:pPr>
        <w:pStyle w:val="TextBody"/>
        <w:bidi w:val="0"/>
        <w:spacing w:lineRule="auto" w:line="288" w:before="0" w:after="200"/>
        <w:ind w:left="0" w:right="0" w:firstLine="360"/>
        <w:jc w:val="both"/>
        <w:rPr/>
      </w:pPr>
      <w:r>
        <w:rPr>
          <w:rFonts w:ascii="Times New Roman;serif" w:hAnsi="Times New Roman;serif"/>
          <w:b w:val="false"/>
          <w:color w:val="000000"/>
          <w:sz w:val="20"/>
        </w:rPr>
        <w:t>The Company’s reporting currency is the U.S. dollar. The functional currency for the majority of its operations is the local currency, with the exception of certain international locations for which the functional currency is the British Pound or U.S. dollar. Assets and liabilities denominated in a foreign currency are translated into U.S. dollars using the exchange rates in effect as of the balance sheet date. Gains and losses resulting from translation are included in accumulated other comprehensive income. Currency g</w:t>
      </w:r>
      <w:r>
        <w:rPr>
          <w:rFonts w:ascii="Times New Roman;serif" w:hAnsi="Times New Roman;serif"/>
          <w:b w:val="false"/>
          <w:color w:val="252525"/>
          <w:sz w:val="20"/>
        </w:rPr>
        <w:t xml:space="preserve">ains and losses on the translation of intercompany loans made to foreign subsidiaries that are of a long-term investment nature are also included </w:t>
      </w:r>
      <w:r>
        <w:rPr>
          <w:rFonts w:ascii="Times New Roman;serif" w:hAnsi="Times New Roman;serif"/>
          <w:b w:val="false"/>
          <w:color w:val="000000"/>
          <w:sz w:val="20"/>
        </w:rPr>
        <w:t xml:space="preserve">in accumulated other comprehensive income. Gains and losses resulting from transactions denominated in a currency other than the functional currency of the entity are included in other income (expense), net in the condensed consolidated statements of operations using the average exchange rates in effect during the period. The Company recognized a net foreign currency loss of $1 million for the three months ended June 30, 2026 and a net foreign currency gain of $2 million for the three months ended June 30, 2025. The Company recognized a net foreign currency loss of $1 million for the six months ended June 30, 2026 and a net foreign currency gain of $7 million for the six months ended June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Accumulated Other Comprehensive Income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accumulated other comprehensive income were as follows (in millions):</w:t>
      </w:r>
    </w:p>
    <w:tbl>
      <w:tblPr>
        <w:tblW w:w="7390" w:type="dxa"/>
        <w:jc w:val="left"/>
        <w:tblInd w:w="0" w:type="dxa"/>
        <w:tblLayout w:type="fixed"/>
        <w:tblCellMar>
          <w:top w:w="28" w:type="dxa"/>
          <w:left w:w="28" w:type="dxa"/>
          <w:bottom w:w="28" w:type="dxa"/>
          <w:right w:w="28" w:type="dxa"/>
        </w:tblCellMar>
      </w:tblPr>
      <w:tblGrid>
        <w:gridCol w:w="1456"/>
        <w:gridCol w:w="1277"/>
        <w:gridCol w:w="1286"/>
        <w:gridCol w:w="342"/>
        <w:gridCol w:w="756"/>
        <w:gridCol w:w="176"/>
        <w:gridCol w:w="109"/>
        <w:gridCol w:w="109"/>
        <w:gridCol w:w="109"/>
        <w:gridCol w:w="514"/>
        <w:gridCol w:w="880"/>
        <w:gridCol w:w="376"/>
      </w:tblGrid>
      <w:tr>
        <w:trPr/>
        <w:tc>
          <w:tcPr>
            <w:tcW w:w="1456"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income</w:t>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accumulated other comprehensive income</w:t>
            </w:r>
          </w:p>
        </w:tc>
        <w:tc>
          <w:tcPr>
            <w:tcW w:w="3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00"/>
        <w:ind w:left="0" w:right="0" w:firstLine="360"/>
        <w:jc w:val="both"/>
        <w:rPr/>
      </w:pPr>
      <w:r>
        <w:rPr>
          <w:rFonts w:ascii="Times New Roman;serif" w:hAnsi="Times New Roman;serif"/>
          <w:b w:val="false"/>
          <w:color w:val="000000"/>
          <w:sz w:val="20"/>
        </w:rPr>
        <w:t>For the six months ended June 30, 2026 and 2025, there were no amounts reclassified out of accumulated other comprehensive income to the condensed consolidated statements of operations.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Deferred income taxes result from temporary differences between the tax basis of assets and liabilities and the basis reported in the Company’s condensed consolidated financial statements. Deferred tax liabilities and assets are determined based on the difference between the financial statement and the tax basis of assets and liabilities using enacted rates in effect during the year in which the Company expects differences to reverse. Valuation allowances are provided against assets, including net operating losses, if the Company determines it is more likely than not that some portion or all of an asset may not be realized. Interest and penalties related to income tax matters are recognized in income tax expense.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elected to record the GILTI under the current-period cost method.</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4, 2025, new federal tax legislation, H.R.1, was enacted. The legislation amends U.S. tax law, including provisions related to domestic research and development expenses, the restoration of EBITDA-based interest deduction limitation, and bonus depreciation, among others, and international tax provisions, including eliminating the net deemed tangible income return, decreasing the tax rates and taxable income computations applicable to GILTI and FDII, and permanently increasing the BEAT rate. For the three and six months ended June 30, 2026, the Company has assessed the impact of the legislation on its condensed consolidated financial statements and has included the impact of items affecting its forecasted tax rate as part of its income tax expense computed.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10 for further discussion of the Company's accounting for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Earnings Per Share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Earnings per share is computed by dividing net income (loss) by the weighted-average number of common shares outstanding during the period on a basic and diluted basis.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calculation of basic and diluted earnings per share (in millions, except per share data):</w:t>
      </w:r>
    </w:p>
    <w:tbl>
      <w:tblPr>
        <w:tblW w:w="10205" w:type="dxa"/>
        <w:jc w:val="left"/>
        <w:tblInd w:w="0" w:type="dxa"/>
        <w:tblLayout w:type="fixed"/>
        <w:tblCellMar>
          <w:top w:w="28" w:type="dxa"/>
          <w:left w:w="28" w:type="dxa"/>
          <w:bottom w:w="28" w:type="dxa"/>
          <w:right w:w="28" w:type="dxa"/>
        </w:tblCellMar>
      </w:tblPr>
      <w:tblGrid>
        <w:gridCol w:w="2678"/>
        <w:gridCol w:w="1557"/>
        <w:gridCol w:w="1557"/>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73"/>
        <w:gridCol w:w="155"/>
      </w:tblGrid>
      <w:tr>
        <w:trPr/>
        <w:tc>
          <w:tcPr>
            <w:tcW w:w="2678"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79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pPr>
            <w:r>
              <w:rPr>
                <w:rFonts w:ascii="Times New Roman;serif" w:hAnsi="Times New Roman;serif"/>
                <w:b w:val="false"/>
                <w:sz w:val="20"/>
              </w:rPr>
              <w:br/>
            </w:r>
            <w:r>
              <w:rPr>
                <w:rFonts w:ascii="Times New Roman;serif" w:hAnsi="Times New Roman;serif"/>
                <w:b w:val="false"/>
                <w:color w:val="000000"/>
                <w:sz w:val="20"/>
              </w:rPr>
              <w:t>Numerator:</w:t>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792" w:type="dxa"/>
            <w:gridSpan w:val="3"/>
            <w:vMerge w:val="continue"/>
            <w:tcBorders/>
            <w:tcMar>
              <w:top w:w="0" w:type="dxa"/>
              <w:left w:w="0" w:type="dxa"/>
              <w:bottom w:w="0" w:type="dxa"/>
              <w:right w:w="0" w:type="dxa"/>
            </w:tcMar>
            <w:vAlign w:val="center"/>
          </w:tcPr>
          <w:p>
            <w:pPr>
              <w:pStyle w:val="Normal"/>
              <w:bidi w:val="0"/>
              <w:jc w:val="left"/>
              <w:rPr/>
            </w:pPr>
            <w:r>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basic earnings per share — weighted-average outstanding shares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 options, RSAs, and RSUs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diluted earnings per share — weighted-average outstanding shares</w:t>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415.1 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2"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Earnings per share - 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2"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Earnings per share - diluted</w:t>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5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potentially dilutive securities include outstanding stock options and unvested stock-based awards, which include RSAs, RSUs, and Matching RSUs awarded under the MSPP. Shares underlying unvested RSAs and RSUs that vest based on a performance condition and a market condition that have not been achieved as of the end of the period are not included in the computation of basic or diluted earnings per share. Diluted earnings per share considers the impact of potentially dilutive securities except when the inclusion of the potentially dilutive securities would have an anti-dilutive effect.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shares underlying the unvested performance-based RSAs and RSUs and anti-dilutive securities excluded from the basic and diluted earnings per share calculations (in millions):</w:t>
      </w:r>
    </w:p>
    <w:tbl>
      <w:tblPr>
        <w:tblW w:w="6960" w:type="dxa"/>
        <w:jc w:val="left"/>
        <w:tblInd w:w="0" w:type="dxa"/>
        <w:tblLayout w:type="fixed"/>
        <w:tblCellMar>
          <w:top w:w="28" w:type="dxa"/>
          <w:left w:w="28" w:type="dxa"/>
          <w:bottom w:w="28" w:type="dxa"/>
          <w:right w:w="28" w:type="dxa"/>
        </w:tblCellMar>
      </w:tblPr>
      <w:tblGrid>
        <w:gridCol w:w="1081"/>
        <w:gridCol w:w="951"/>
        <w:gridCol w:w="953"/>
        <w:gridCol w:w="208"/>
        <w:gridCol w:w="208"/>
        <w:gridCol w:w="208"/>
        <w:gridCol w:w="208"/>
        <w:gridCol w:w="208"/>
        <w:gridCol w:w="208"/>
        <w:gridCol w:w="208"/>
        <w:gridCol w:w="208"/>
        <w:gridCol w:w="208"/>
        <w:gridCol w:w="109"/>
        <w:gridCol w:w="109"/>
        <w:gridCol w:w="109"/>
        <w:gridCol w:w="203"/>
        <w:gridCol w:w="203"/>
        <w:gridCol w:w="178"/>
        <w:gridCol w:w="178"/>
        <w:gridCol w:w="178"/>
        <w:gridCol w:w="178"/>
        <w:gridCol w:w="203"/>
        <w:gridCol w:w="203"/>
        <w:gridCol w:w="252"/>
      </w:tblGrid>
      <w:tr>
        <w:trPr/>
        <w:tc>
          <w:tcPr>
            <w:tcW w:w="108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Performance-based RSAs and RSUs</w:t>
            </w:r>
          </w:p>
        </w:tc>
        <w:tc>
          <w:tcPr>
            <w:tcW w:w="4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securities</w:t>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Stock-Based Compensation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Equity instruments issued in exchange for services performed by officers, employees, and directors of the Company are accounted for using a fair value-based method and the fair value of such equity instruments is recognized as expense in the condensed consolidated statements of operations.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stock-based awards that vest over a specific service period, compensation expense is measured based on the fair value of the awards at the grant date and is recognized on a straight-line basis over the service period of the awards, net of an estimated forfeiture rate. For equity instruments that vest based on achievement of both a performance and a market condition, stock-based compensation expense is recognized over the service period of the awards based on the expected achievement of the related performance conditions at the end of each reporting period. If the Company's initial estimates of the achievement of the performance conditions change, the related stock-based compensation expense may fluctuate from period to period based on those estimates. If the performance conditions are not met, no stock-based compensation expense will be recognized and any previously recognized stock-based compensation expense will be reversed. For awards with both a performance and a market condition, the Company estimates the fair value of each equity instrument granted on the date of grant using a Monte-Carlo simulation model. This pricing model uses multiple simulations to evaluate the probability of achieving the market condition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calculate the fair value of the awards which includes the recent market price and volatility of the Company's shares. When determining the grant date fair value of all stock-based awards, the Company considers whether it is in possession of any material, non-public information that upon its release would have a material effect on its share price, and if so, whether the observable share price or expected volatility assumptions used in determining the fair value of the awards should be adjusted.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for stock options, RSAs, and RSUs issued under equity incentive plans, stock purchases under the ESPP, and DSUs and Matching RSUs awarded under the MSPP included in the Company’s condensed consolidated statements of operations were as follows (in millions):</w:t>
      </w:r>
    </w:p>
    <w:tbl>
      <w:tblPr>
        <w:tblW w:w="9109" w:type="dxa"/>
        <w:jc w:val="left"/>
        <w:tblInd w:w="0" w:type="dxa"/>
        <w:tblLayout w:type="fixed"/>
        <w:tblCellMar>
          <w:top w:w="28" w:type="dxa"/>
          <w:left w:w="28" w:type="dxa"/>
          <w:bottom w:w="28" w:type="dxa"/>
          <w:right w:w="28" w:type="dxa"/>
        </w:tblCellMar>
      </w:tblPr>
      <w:tblGrid>
        <w:gridCol w:w="1871"/>
        <w:gridCol w:w="1648"/>
        <w:gridCol w:w="1656"/>
        <w:gridCol w:w="234"/>
        <w:gridCol w:w="400"/>
        <w:gridCol w:w="121"/>
        <w:gridCol w:w="121"/>
        <w:gridCol w:w="121"/>
        <w:gridCol w:w="121"/>
        <w:gridCol w:w="234"/>
        <w:gridCol w:w="400"/>
        <w:gridCol w:w="121"/>
        <w:gridCol w:w="109"/>
        <w:gridCol w:w="109"/>
        <w:gridCol w:w="109"/>
        <w:gridCol w:w="211"/>
        <w:gridCol w:w="361"/>
        <w:gridCol w:w="109"/>
        <w:gridCol w:w="109"/>
        <w:gridCol w:w="109"/>
        <w:gridCol w:w="109"/>
        <w:gridCol w:w="211"/>
        <w:gridCol w:w="361"/>
        <w:gridCol w:w="154"/>
      </w:tblGrid>
      <w:tr>
        <w:trPr/>
        <w:tc>
          <w:tcPr>
            <w:tcW w:w="1871"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(excluding customer base amortization)</w:t>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development</w:t>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Loss Contingencies and Litigation Expense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subject to the possibility of losses from various contingencies, including certain legal proceedings. Significant judgment is necessary to estimate the probability and amount of a loss, if any, from such contingencies. An accrual is made when it is probable that a liability has been incurred or an asset has been impaired, and the amount of loss can be reasonably estimated. In accounting for the resolution of contingencies, significant judgment may be necessary to estimate amounts pertaining to periods prior to the resolution that are charged to operations in the period of resolution and amounts related to future periods. If only a range of estimated losses can be determined, the Company records an amount within the range that, in its judgment, reflects the most likely outcome; if none of the estimates within that range are a better estimate than any other amount, the Company records the low end of the range. Any such accrual would be charged to expense in the appropriate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Deal-Contingent Foreign Currency Forward Contracts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9, 2025, the Company entered into deal-contingent foreign currency forward contracts to manage the risk of appreciation of the Australian dollar-denominated purchase price related to the Domain Acquisition. Deal-contingent foreign currency forward contracts had an aggregate notional amount of A$2.4 billion ($1.5 billion). These derivative instruments were entered into as economic hedges and do not qualify for hedge accounting. The change in fair value of the deal-contingent forward contracts was $13 million for the three and six months ended June 30, 2025 and was recognized in other income (expense), net in the condensed consolidated statements of operations. See Note 4 for further discussion regarding the Company's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Cash, Cash Equivalents, and Restricted Cash</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considers all highly liquid investments with an original maturity of three months or less when purchased to be cash equivalents. Restricted cash consisted of cash deposited as collateral related to a litigation bond in a third-party insured account, which was liquidated in June 2026 with the resolution of the Brown Judgment. See Note 11 for further discussion regarding the Company's litigation.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are included in the following line items in the condensed consolidated balance sheets and condensed consolidated statements of cash flows (in millions):</w:t>
      </w:r>
    </w:p>
    <w:tbl>
      <w:tblPr>
        <w:tblW w:w="7360" w:type="dxa"/>
        <w:jc w:val="left"/>
        <w:tblInd w:w="0" w:type="dxa"/>
        <w:tblLayout w:type="fixed"/>
        <w:tblCellMar>
          <w:top w:w="28" w:type="dxa"/>
          <w:left w:w="28" w:type="dxa"/>
          <w:bottom w:w="28" w:type="dxa"/>
          <w:right w:w="28" w:type="dxa"/>
        </w:tblCellMar>
      </w:tblPr>
      <w:tblGrid>
        <w:gridCol w:w="1445"/>
        <w:gridCol w:w="1269"/>
        <w:gridCol w:w="1276"/>
        <w:gridCol w:w="287"/>
        <w:gridCol w:w="839"/>
        <w:gridCol w:w="148"/>
        <w:gridCol w:w="109"/>
        <w:gridCol w:w="109"/>
        <w:gridCol w:w="109"/>
        <w:gridCol w:w="380"/>
        <w:gridCol w:w="1110"/>
        <w:gridCol w:w="279"/>
      </w:tblGrid>
      <w:tr>
        <w:trPr/>
        <w:tc>
          <w:tcPr>
            <w:tcW w:w="144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1,633 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1,733 </w:t>
            </w:r>
          </w:p>
        </w:tc>
        <w:tc>
          <w:tcPr>
            <w:tcW w:w="2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Allowance for Credit Losses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maintains an allowance for credit losses to cover its current expected credit losses on its trade receivables and contract assets arising from the failure of customers to make contractual payments. The Company estimates credit losses expected over the life of its trade receivables and contract assets based on historical information combined with current conditions that may affect a customer’s ability to pay. While the Company uses various credit quality metrics, it primarily monitors collectability by reviewing the duration of collection pursuits on its delinquent trade receivables and historical write-off trends. Based on the Company’s experience, the customer's delinquency status is the strongest indicator of the credit quality of the underlying trade receivables. The Company’s policy is to write-off trade receivables when they are deemed uncollectible.</w:t>
      </w:r>
    </w:p>
    <w:p>
      <w:pPr>
        <w:pStyle w:val="TextBody"/>
        <w:bidi w:val="0"/>
        <w:spacing w:lineRule="auto" w:line="288" w:before="0" w:after="120"/>
        <w:ind w:left="0" w:right="0" w:firstLine="360"/>
        <w:jc w:val="both"/>
        <w:rPr>
          <w:rFonts w:ascii="Times New Roman;serif" w:hAnsi="Times New Roman;serif"/>
          <w:b w:val="false"/>
          <w:color w:val="252525"/>
          <w:sz w:val="20"/>
        </w:rPr>
      </w:pPr>
      <w:r>
        <w:rPr>
          <w:rFonts w:ascii="Times New Roman;serif" w:hAnsi="Times New Roman;serif"/>
          <w:b w:val="false"/>
          <w:color w:val="252525"/>
          <w:sz w:val="20"/>
        </w:rPr>
        <w:t>The following table details the activity related to the allowance for credit losses for trade receivables (in millions):</w:t>
      </w:r>
    </w:p>
    <w:tbl>
      <w:tblPr>
        <w:tblW w:w="6655" w:type="dxa"/>
        <w:jc w:val="left"/>
        <w:tblInd w:w="0" w:type="dxa"/>
        <w:tblLayout w:type="fixed"/>
        <w:tblCellMar>
          <w:top w:w="28" w:type="dxa"/>
          <w:left w:w="28" w:type="dxa"/>
          <w:bottom w:w="28" w:type="dxa"/>
          <w:right w:w="28" w:type="dxa"/>
        </w:tblCellMar>
      </w:tblPr>
      <w:tblGrid>
        <w:gridCol w:w="1533"/>
        <w:gridCol w:w="1345"/>
        <w:gridCol w:w="1352"/>
        <w:gridCol w:w="295"/>
        <w:gridCol w:w="506"/>
        <w:gridCol w:w="152"/>
        <w:gridCol w:w="152"/>
        <w:gridCol w:w="152"/>
        <w:gridCol w:w="152"/>
        <w:gridCol w:w="295"/>
        <w:gridCol w:w="506"/>
        <w:gridCol w:w="215"/>
      </w:tblGrid>
      <w:tr>
        <w:trPr/>
        <w:tc>
          <w:tcPr>
            <w:tcW w:w="1533"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4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Current-period provision for expected credit losses</w:t>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 charged against the allowance</w:t>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Inventories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Inventories consist primarily of finished goods, assemblies, and raw materials. Assemblies are generally purchased from contract manufacturers. Inventories are valued at the lower of cost or net realizable value. Costs are determined using standard cost, which approximates actual cost on a first-in, first-out basis. The Company assesses the valuation of inventory and periodically adjusts the value for estimated excess and obsolete inventory based upon estimates of future demand and market conditions, as well as damaged or otherwise impaired goods. </w:t>
      </w:r>
    </w:p>
    <w:p>
      <w:pPr>
        <w:pStyle w:val="TextBody"/>
        <w:bidi w:val="0"/>
        <w:spacing w:lineRule="auto" w:line="288" w:before="0" w:after="200"/>
        <w:ind w:left="0" w:right="0" w:firstLine="360"/>
        <w:jc w:val="both"/>
        <w:rPr/>
      </w:pPr>
      <w:r>
        <w:rPr>
          <w:rFonts w:ascii="Times New Roman;serif" w:hAnsi="Times New Roman;serif"/>
          <w:b w:val="false"/>
          <w:color w:val="000000"/>
          <w:sz w:val="20"/>
          <w:shd w:fill="FFFFFF" w:val="clear"/>
        </w:rPr>
        <w:t>Inventories of Matterport cameras and accessories</w:t>
      </w:r>
      <w:r>
        <w:rPr>
          <w:color w:val="000000"/>
        </w:rPr>
        <w:t xml:space="preserve"> </w:t>
      </w:r>
      <w:r>
        <w:rPr>
          <w:rFonts w:ascii="Times New Roman;serif" w:hAnsi="Times New Roman;serif"/>
          <w:b w:val="false"/>
          <w:color w:val="000000"/>
          <w:sz w:val="20"/>
          <w:shd w:fill="FFFFFF" w:val="clear"/>
        </w:rPr>
        <w:t>consisted of the following (in millions):</w:t>
      </w:r>
    </w:p>
    <w:tbl>
      <w:tblPr>
        <w:tblW w:w="6206" w:type="dxa"/>
        <w:jc w:val="left"/>
        <w:tblInd w:w="0" w:type="dxa"/>
        <w:tblLayout w:type="fixed"/>
        <w:tblCellMar>
          <w:top w:w="28" w:type="dxa"/>
          <w:left w:w="28" w:type="dxa"/>
          <w:bottom w:w="28" w:type="dxa"/>
          <w:right w:w="28" w:type="dxa"/>
        </w:tblCellMar>
      </w:tblPr>
      <w:tblGrid>
        <w:gridCol w:w="1027"/>
        <w:gridCol w:w="902"/>
        <w:gridCol w:w="906"/>
        <w:gridCol w:w="395"/>
        <w:gridCol w:w="676"/>
        <w:gridCol w:w="204"/>
        <w:gridCol w:w="109"/>
        <w:gridCol w:w="109"/>
        <w:gridCol w:w="109"/>
        <w:gridCol w:w="600"/>
        <w:gridCol w:w="728"/>
        <w:gridCol w:w="441"/>
      </w:tblGrid>
      <w:tr>
        <w:trPr/>
        <w:tc>
          <w:tcPr>
            <w:tcW w:w="102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3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parts and raw materials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3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Leases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determination of whether an arrangement contains a lease and the classification of a lease, if applicable, is made at the commencement of the arrangement, at which time the Company also measures and recognizes a ROU asset, representing the Company’s right to use the underlying asset, and a lease liability, representing the Company’s obligation to make lease payments under the terms of the arrangement. For the purposes of recognizing ROU assets and lease liabilities associated with the Company’s leases, the Company has elected the practical expedient to not recognize a ROU asset or lease liability for short-term leases, which are leases with a term of one year or less. The lease term is defined as the noncancelable portion of the lease term, plus any periods covered by an option to extend the lease if it is reasonably certain that the option will be exercised.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determining the amount of lease payments used in measuring ROU assets and lease liabilities, the Company has elected the practical expedient not to separate non-lease components from lease components for all classes of underlying assets. Consideration deemed part of the lease payments used to measure ROU assets and lease liabilities generally includes fixed payments and variable payments based on either an index or a rate, offset by lease incentives. Upon commencement, the initial ROU asset also includes any lease prepayments. ROU assets and liabilities are recognized at the lease commencement date based on the present value of lease payments over the lease term. The rates implicit within the Company's leases are generally not determinable. Therefore, the Company's incremental borrowing rate is used to determine the present value of lease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payments. The determination of the Company’s incremental borrowing rate requires judgment and is determined at lease commencement and is subsequently reassessed upon a modification to the lease arrangement.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Lease costs related to the Company's operating leases are generally recognized as a single ratable lease cost over the lease term.</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6 for further discussion of the Company’s accounting for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Property and Equipment, Net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and equipment, net are stated at cost, net of accumulated depreciation and amortization. All repairs and maintenance costs are expensed as incurred. Construction in progress includes expenditures for construction and improvements to the Company's campuses and are stated at cost. Depreciation and amortization are calculated on a straight-line basis over the estimated useful lives of the assets. The Company capitalizes interest costs during the construction phase. Capitalized interest is included in the cost of the underlying asset and amortized over the estimated useful life of the asset.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Construction of the Richmond, Virginia campus was substantially completed and the building was operational in June 2026 in advance of the grand opening in July 2026. During the three months ended June 30, 2026, construction in progress was placed into service as shown below (in millions): </w:t>
      </w:r>
    </w:p>
    <w:tbl>
      <w:tblPr>
        <w:tblW w:w="6558" w:type="dxa"/>
        <w:jc w:val="left"/>
        <w:tblInd w:w="0" w:type="dxa"/>
        <w:tblLayout w:type="fixed"/>
        <w:tblCellMar>
          <w:top w:w="28" w:type="dxa"/>
          <w:left w:w="28" w:type="dxa"/>
          <w:bottom w:w="28" w:type="dxa"/>
          <w:right w:w="28" w:type="dxa"/>
        </w:tblCellMar>
      </w:tblPr>
      <w:tblGrid>
        <w:gridCol w:w="954"/>
        <w:gridCol w:w="838"/>
        <w:gridCol w:w="848"/>
        <w:gridCol w:w="919"/>
        <w:gridCol w:w="919"/>
        <w:gridCol w:w="922"/>
        <w:gridCol w:w="109"/>
        <w:gridCol w:w="109"/>
        <w:gridCol w:w="109"/>
        <w:gridCol w:w="211"/>
        <w:gridCol w:w="466"/>
        <w:gridCol w:w="154"/>
      </w:tblGrid>
      <w:tr>
        <w:trPr/>
        <w:tc>
          <w:tcPr>
            <w:tcW w:w="95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 Useful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27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improvements</w:t>
            </w:r>
          </w:p>
        </w:tc>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office equipment</w:t>
            </w:r>
          </w:p>
        </w:tc>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total cost of the assets placed in service includes $31 million of interest capitalized over the course of construction.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Long-Lived Assets, Intangible Assets, and Goodwill</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Long-lived assets, such as property and equipment and purchased intangibles subject to depreciation or amortization, are reviewed for impairment whenever events or changes in circumstances indicate that the carrying amount of an asset may not be recoverable. Recoverability of assets to be held and used is measured by a comparison of the carrying amount of an asset to the estimated undiscounted future cash flows expected to be generated by the asset or asset group. If the carrying amount of an asset exceeds its estimated undiscounted future cash flows, an impairment charge is recognized in the amount by which the carrying amount of the asset exceeds the fair value of the asset.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Acquired technology and data, customer base assets, trade names, and other intangible assets are related to the Company’s acquisitions. The Company removes fully amortized intangible assets from the cost and accumulated amortization amounts disclosed.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Goodwill is tested for impairment at least annually, on October 1, or more frequently if an event or other circumstance indicates that the fair value of a reporting unit may be below its carrying amount. The Company may first assess qualitative factors to evaluate whether it is more likely than not that the fair value of a reporting unit is less than its carrying amount or elect to bypass the qualitative assessment. If it is determined that it is more likely than not that the fair value of a reporting unit is less than its carrying value, or the Company elects to bypass the qualitative assessment, the Company then performs a quantitative assessment by determining the fair value of each reporting unit. The estimate of the fair value of each reporting unit is based on a projected discounted cash flow model that includes significant assumptions and estimates, including the discount rate, growth rate, and future financial performance. Assumptions about the discount rate are based on a weighted-average cost of capital for comparable companies. Assumptions about the growth rate and future financial performance of a reporting unit are based on the Company’s forecasts, business plans, economic projections, and anticipated future cash flows. The fair value of each reporting unit is compared to the carrying amount of the reporting unit. If the carrying value of the reporting unit exceeds the fair value, then an impairment loss is recognized for the difference.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Notes 4, 7, and 8 for further discussion of the Company's acquisitions, goodwill, and intangible assets,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Leasing Operations and Other Income (Expense), Net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February 2024, the Company closed on the purchase of an office tower and the land on which it rests in Arlington, Virginia. In January 2025, the Company relocated its headquarters from Washington, D.C. to Arlington, VA, initially occupying approximately 30% of the building. The Company continues to build out further space in this building to support anticipated growth and expansion of its operations in the coming years. Maintenance, physical facilities, leasing, property management, and other key responsibilities related to property ownership are outsourced to professional real-estate managers. The office tower measures approximately 550,000 rentable square feet.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records the third-party rental activity from this building's operations and leases, including building depreciation and operating expenses for space occupied by tenants, as other income (expense), net in the condensed consolidated statements of operations.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Deferred lease income as of June 30, 2026 and December 31, 2025 was as follows (in millions):</w:t>
      </w:r>
    </w:p>
    <w:tbl>
      <w:tblPr>
        <w:tblW w:w="8771" w:type="dxa"/>
        <w:jc w:val="left"/>
        <w:tblInd w:w="0" w:type="dxa"/>
        <w:tblLayout w:type="fixed"/>
        <w:tblCellMar>
          <w:top w:w="28" w:type="dxa"/>
          <w:left w:w="28" w:type="dxa"/>
          <w:bottom w:w="28" w:type="dxa"/>
          <w:right w:w="28" w:type="dxa"/>
        </w:tblCellMar>
      </w:tblPr>
      <w:tblGrid>
        <w:gridCol w:w="853"/>
        <w:gridCol w:w="749"/>
        <w:gridCol w:w="753"/>
        <w:gridCol w:w="1013"/>
        <w:gridCol w:w="1013"/>
        <w:gridCol w:w="1018"/>
        <w:gridCol w:w="395"/>
        <w:gridCol w:w="676"/>
        <w:gridCol w:w="204"/>
        <w:gridCol w:w="109"/>
        <w:gridCol w:w="109"/>
        <w:gridCol w:w="109"/>
        <w:gridCol w:w="514"/>
        <w:gridCol w:w="880"/>
        <w:gridCol w:w="376"/>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w:t>
            </w:r>
          </w:p>
        </w:tc>
        <w:tc>
          <w:tcPr>
            <w:tcW w:w="30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Sheet Caption</w:t>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3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w:t>
            </w:r>
          </w:p>
        </w:tc>
        <w:tc>
          <w:tcPr>
            <w:tcW w:w="30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w:t>
            </w:r>
          </w:p>
        </w:tc>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Lease and other long-term liabilities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lease income</w:t>
            </w:r>
          </w:p>
        </w:tc>
        <w:tc>
          <w:tcPr>
            <w:tcW w:w="3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pPr>
      <w:r>
        <w:rPr>
          <w:rFonts w:ascii="Times New Roman;serif" w:hAnsi="Times New Roman;serif"/>
          <w:b w:val="false"/>
          <w:color w:val="000000"/>
          <w:sz w:val="20"/>
        </w:rPr>
        <w:t>Lease income includes base rent each tenant pays in accordance with the terms of its respective lease and is reported on a straight-line basis over the non-cancellable term of the lease, which includes the effects of periodic step-ups in rent and rent abatements under the lease. When a renewal option is included within the lease, the Company assesses whether the option is reasonably certain of being exercised against relevant economic factors to determine whether the option period should be included as part of the lease term. Further, lease income includes tenant reimbursement amounts for the recovery of the operating expenses and real estate taxes. Tenant reimbursements, which vary each period, are non-lease components that are not the predominant activity within the contract. The Company has elected the practical expedient that allows it to combine certain lease and non-lease components of operating leases. Non-lease components are recognized together with fixed base rent in “lease income” as variable lease income in the same period as the related expenses are in</w:t>
      </w:r>
      <w:r>
        <w:rPr>
          <w:rFonts w:ascii="Times New Roman;serif" w:hAnsi="Times New Roman;serif"/>
          <w:b w:val="false"/>
          <w:color w:val="000000"/>
          <w:sz w:val="20"/>
          <w:shd w:fill="FFFFFF" w:val="clear"/>
        </w:rPr>
        <w:t xml:space="preserve">curred. For the </w:t>
      </w:r>
      <w:r>
        <w:rPr>
          <w:rFonts w:ascii="Times New Roman;serif" w:hAnsi="Times New Roman;serif"/>
          <w:b w:val="false"/>
          <w:color w:val="000000"/>
          <w:sz w:val="20"/>
        </w:rPr>
        <w:t xml:space="preserve">three and six months ended June 30, 2026 and 2025, </w:t>
      </w:r>
      <w:r>
        <w:rPr>
          <w:rFonts w:ascii="Times New Roman;serif" w:hAnsi="Times New Roman;serif"/>
          <w:b w:val="false"/>
          <w:color w:val="000000"/>
          <w:sz w:val="20"/>
          <w:shd w:fill="FFFFFF" w:val="clear"/>
        </w:rPr>
        <w:t>variable lease income was not material</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Components of </w:t>
      </w:r>
      <w:r>
        <w:rPr>
          <w:rFonts w:ascii="Times New Roman;serif" w:hAnsi="Times New Roman;serif"/>
          <w:b w:val="false"/>
          <w:color w:val="000000"/>
          <w:sz w:val="20"/>
        </w:rPr>
        <w:t>other income (expense), net</w:t>
      </w:r>
      <w:r>
        <w:rPr>
          <w:color w:val="000000"/>
          <w:shd w:fill="FFFFFF" w:val="clear"/>
        </w:rPr>
        <w:t xml:space="preserve"> </w:t>
      </w:r>
      <w:r>
        <w:rPr>
          <w:rFonts w:ascii="Times New Roman;serif" w:hAnsi="Times New Roman;serif"/>
          <w:b w:val="false"/>
          <w:color w:val="000000"/>
          <w:sz w:val="20"/>
          <w:shd w:fill="FFFFFF" w:val="clear"/>
        </w:rPr>
        <w:t xml:space="preserve">related to leasing operations for the </w:t>
      </w:r>
      <w:r>
        <w:rPr>
          <w:rFonts w:ascii="Times New Roman;serif" w:hAnsi="Times New Roman;serif"/>
          <w:b w:val="false"/>
          <w:color w:val="000000"/>
          <w:sz w:val="20"/>
        </w:rPr>
        <w:t>three and</w:t>
      </w:r>
      <w:r>
        <w:rPr>
          <w:color w:val="000000"/>
          <w:shd w:fill="FFFFFF" w:val="clear"/>
        </w:rPr>
        <w:t xml:space="preserve"> </w:t>
      </w:r>
      <w:r>
        <w:rPr>
          <w:rFonts w:ascii="Times New Roman;serif" w:hAnsi="Times New Roman;serif"/>
          <w:b w:val="false"/>
          <w:color w:val="000000"/>
          <w:sz w:val="20"/>
        </w:rPr>
        <w:t>six months ended June 30, 2026</w:t>
      </w:r>
      <w:r>
        <w:rPr>
          <w:color w:val="000000"/>
          <w:shd w:fill="FFFFFF" w:val="clear"/>
        </w:rPr>
        <w:t xml:space="preserve"> </w:t>
      </w:r>
      <w:r>
        <w:rPr>
          <w:rFonts w:ascii="Times New Roman;serif" w:hAnsi="Times New Roman;serif"/>
          <w:b w:val="false"/>
          <w:color w:val="000000"/>
          <w:sz w:val="20"/>
          <w:shd w:fill="FFFFFF" w:val="clear"/>
        </w:rPr>
        <w:t>and 2025 were as follows (in millions):</w:t>
      </w:r>
    </w:p>
    <w:tbl>
      <w:tblPr>
        <w:tblW w:w="10205" w:type="dxa"/>
        <w:jc w:val="left"/>
        <w:tblInd w:w="0" w:type="dxa"/>
        <w:tblLayout w:type="fixed"/>
        <w:tblCellMar>
          <w:top w:w="28" w:type="dxa"/>
          <w:left w:w="28" w:type="dxa"/>
          <w:bottom w:w="28" w:type="dxa"/>
          <w:right w:w="28" w:type="dxa"/>
        </w:tblCellMar>
      </w:tblPr>
      <w:tblGrid>
        <w:gridCol w:w="1623"/>
        <w:gridCol w:w="1250"/>
        <w:gridCol w:w="1255"/>
        <w:gridCol w:w="354"/>
        <w:gridCol w:w="682"/>
        <w:gridCol w:w="183"/>
        <w:gridCol w:w="183"/>
        <w:gridCol w:w="183"/>
        <w:gridCol w:w="183"/>
        <w:gridCol w:w="354"/>
        <w:gridCol w:w="527"/>
        <w:gridCol w:w="183"/>
        <w:gridCol w:w="171"/>
        <w:gridCol w:w="171"/>
        <w:gridCol w:w="171"/>
        <w:gridCol w:w="332"/>
        <w:gridCol w:w="639"/>
        <w:gridCol w:w="171"/>
        <w:gridCol w:w="171"/>
        <w:gridCol w:w="171"/>
        <w:gridCol w:w="171"/>
        <w:gridCol w:w="332"/>
        <w:gridCol w:w="491"/>
        <w:gridCol w:w="254"/>
      </w:tblGrid>
      <w:tr>
        <w:trPr/>
        <w:tc>
          <w:tcPr>
            <w:tcW w:w="1623"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4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2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Lease income</w:t>
            </w:r>
            <w:r>
              <w:rPr>
                <w:rFonts w:ascii="Times New Roman;serif" w:hAnsi="Times New Roman;serif"/>
                <w:b w:val="false"/>
                <w:color w:val="000000"/>
                <w:sz w:val="13"/>
              </w:rPr>
              <w:t>(1)</w:t>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operating expenses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from leasing operations</w:t>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__________________________</w:t>
            </w:r>
          </w:p>
        </w:tc>
        <w:tc>
          <w:tcPr>
            <w:tcW w:w="12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Includes $1 million of amortization expense of above-market leases for both the three months ended June 30, 2026 and 2025, and $3 million and $2 million for the six months ended June 30, 2026 and 2025, respectively.</w:t>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Building depreciation and operating expenses for space occupied by the Company are allocated among cost of revenue, selling and marketing (excluding customer base amortization), software development, and general and administrative expenses in the condensed consolidated statements of operations based on the headcount of the respective departments occupying the building. As of June 30, 2026, the Company occupied approximately 60% of the property with the remainder leased or available to be leased to third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Debt Issuance Costs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Costs incurred in connection with the issuance of long-term debt are deferred and amortized as interest expense over the term of the related debt using the effective interest method for term debt and on a straight-line basis for revolving debt. The Company made a policy election to classify deferred issuance costs on the revolving credit facility as a long-term asset on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condensed consolidated balance sheets. Upon a refinancing or amendment, previously 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 capitalized debt issuance costs are amortized as interest expense over the term of the new debt instrument.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9 for further discussion of the Company's accounting for its outstanding debt, revolving credit facility, and related issuance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Business Combinations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includes the results of operations of the businesses that it acquires from the date of acquisition. The Company generally allocates the purchase consideration to the tangible assets acquired and liabilities assumed and intangible assets acquired based on their estimated fair values on the date of the acquisition. The purchase price is generally determined based on the fair value of the assets transferred, liabilities assumed, and equity interests issued, after considering any transactions that are separate from the business combination. The excess of the fair value of purchase consideration, the fair value of any NCI in the acquiree, and the fair value of any previous equity interest in the acquiree over the fair values of these identifiable assets and liabilities is recorded as goodwill. In a business combination achieved in stages, the Company shall remeasure its previously held equity interest in the acquiree at its acquisition-date fair value and recognize the resulting gain or loss, if any, in results of operations. The Company applies significant assumptions, estimates, and judgments in determining the fair value of assets acquired and liabilities assumed on the acquisition date, especially with respect to intangible assets and contingent liabilities. Significant estimates in valuing certain intangible assets include, but are not limited to, future expected cash flows from acquired customer bases, acquired technology, acquired trade names, useful lives, royalty rates, and discount rates. Estimates of fair value are based on assumptions believed to be reasonable, but which are inherently uncertain and unpredictable and, as a result, actual results may differ from estimates. Any adjustments to provisional amounts that are identified during the measurement period, not to exceed one year from the date of acquisition, are recorded in the reporting period in which the adjustment amounts are determined. Upon the conclusion of the measurement period, any subsequent adjustments are recorded to earnings.</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The Company has elected the practical expedient provided under ASC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which allows for contract assets and liabilities acquired or assumed in an acquisition to be measured in accordance with the accounting framework for revenue from contracts with customers as if the Company had originated the acquired contract. This is an exception to the general requirement to measure assets acquired and liabilities assumed at their fair value on the acquisition date.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 given acquisition, the Company may identify certain pre-acquisition contingencies as of the acquisition date and may extend its review and evaluation of these pre-acquisition contingencies throughout the measurement period in order to obtain sufficient information to assess whether the Company includes these contingencies as part of the fair value estimates of assets acquired and liabilities assumed and, if so, to determine their estimated amounts.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Company cannot reasonably determine the fair value of a pre-acquisition contingency (non-income tax-related) by the end of the measurement period, which is generally the case given the nature of such matters, the Company will recognize an asset or a liability for such pre-acquisition contingency if: (i) it is probable that an asset existed or a liability had been assumed at the acquisition date and (ii) the amount of the asset or liability can be reasonably estimated. Subsequent to the measurement period, changes in the Company's estimates of such contingencies will affect earnings and could have a material effect on its results of operations and financial position.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uncertain tax positions and tax-related valuation allowances assumed in connection with a business combination are initially estimated as of the acquisition date. The Company reevaluates these items based upon facts and circumstances that existed as of the acquisition date with any adjustments to its preliminary estimates being recorded to goodwill, provided that the Company is within the measurement period. Subsequent to the measurement period, changes to these uncertain tax positions and tax-related valuation allowances will affect the Company's provision for income taxes in its condensed consolidated statements of operations and comprehensive income and could have a material impact on its results of operations and financial position.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Transaction costs associated with business combinations are expensed as incurred and are included in general and administrative expenses in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Recently Adopted Accounting Pronouncements</w:t>
      </w:r>
    </w:p>
    <w:p>
      <w:pPr>
        <w:pStyle w:val="TextBody"/>
        <w:bidi w:val="0"/>
        <w:spacing w:lineRule="auto" w:line="288" w:before="200" w:after="200"/>
        <w:ind w:left="0" w:right="0" w:firstLine="360"/>
        <w:jc w:val="both"/>
        <w:rPr/>
      </w:pPr>
      <w:r>
        <w:rPr>
          <w:rFonts w:ascii="Times New Roman;serif" w:hAnsi="Times New Roman;serif"/>
          <w:b w:val="false"/>
          <w:color w:val="000000"/>
          <w:sz w:val="20"/>
        </w:rPr>
        <w:t xml:space="preserve">The Company adopted ASU No. 2025-05, </w:t>
      </w:r>
      <w:r>
        <w:rPr>
          <w:rFonts w:ascii="Times New Roman;serif" w:hAnsi="Times New Roman;serif"/>
          <w:b w:val="false"/>
          <w:i/>
          <w:color w:val="000000"/>
          <w:sz w:val="20"/>
        </w:rPr>
        <w:t xml:space="preserve">Financial Instruments—Credit Losses (Topic 326): Measurement of Credit Losses for Accounts Receivable and Contract Assets </w:t>
      </w:r>
      <w:r>
        <w:rPr>
          <w:rFonts w:ascii="Times New Roman;serif" w:hAnsi="Times New Roman;serif"/>
          <w:b w:val="false"/>
          <w:color w:val="000000"/>
          <w:sz w:val="20"/>
        </w:rPr>
        <w:t>effective January 1, 2026. This ASU provides a practical expedient for estimating expected credit losses on current accounts receivable and current contract assets arising from transactions accounted for under ASC 606. Under the expedient, entities may assume that current conditions as of the balance sheet date do not change for the remaining life of the asset when developing reasonable and supportable forecasts as part of estimating expected credit losses. The Company adopted the ASU effective January 1, 2026 on a prospective basis and elected the practical expedient for the calculation of current expected credit losses. The adoption did not result in a material impact on the Company's condensed consolidated financial statements and related disclosures.</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Recent Accounting Pronouncements Not Yet Adopted</w:t>
      </w:r>
    </w:p>
    <w:p>
      <w:pPr>
        <w:pStyle w:val="TextBody"/>
        <w:bidi w:val="0"/>
        <w:spacing w:lineRule="auto" w:line="288" w:before="200" w:after="200"/>
        <w:ind w:left="0" w:right="0" w:firstLine="360"/>
        <w:jc w:val="both"/>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 xml:space="preserve">Income Statement - Reporting Comprehensive Income - Expense Disaggregation Disclosures </w:t>
      </w:r>
      <w:r>
        <w:rPr>
          <w:rFonts w:ascii="Times New Roman;serif" w:hAnsi="Times New Roman;serif"/>
          <w:b w:val="false"/>
          <w:color w:val="000000"/>
          <w:sz w:val="20"/>
        </w:rPr>
        <w:t xml:space="preserve">(Subtopic 220-40): </w:t>
      </w:r>
      <w:r>
        <w:rPr>
          <w:rFonts w:ascii="Times New Roman;serif" w:hAnsi="Times New Roman;serif"/>
          <w:b w:val="false"/>
          <w:i/>
          <w:color w:val="000000"/>
          <w:sz w:val="20"/>
        </w:rPr>
        <w:t>Disaggregation of Income Statement Expenses</w:t>
      </w:r>
      <w:r>
        <w:rPr>
          <w:rFonts w:ascii="Times New Roman;serif" w:hAnsi="Times New Roman;serif"/>
          <w:b w:val="false"/>
          <w:color w:val="000000"/>
          <w:sz w:val="20"/>
        </w:rPr>
        <w:t>. The ASU requires incremental disclosures about specific expense categories, including but not limited to, purchases of inventory, employee compensation, depreciation, amortization, and selling expenses. The amendments are effective for fiscal years beginning after December 15, 2026 and for interim periods within fiscal years beginning after December 15, 2027. Early adoption is permitted and the amendments may be applied either prospectively or retrospectively. Management is currently evaluating this ASU to determine its impact on the Company's disclosures.</w:t>
      </w:r>
    </w:p>
    <w:p>
      <w:pPr>
        <w:pStyle w:val="TextBody"/>
        <w:bidi w:val="0"/>
        <w:spacing w:lineRule="auto" w:line="288" w:before="200" w:after="200"/>
        <w:ind w:left="0" w:right="0" w:firstLine="360"/>
        <w:jc w:val="both"/>
        <w:rPr/>
      </w:pPr>
      <w:r>
        <w:rPr>
          <w:rFonts w:ascii="Times New Roman;serif" w:hAnsi="Times New Roman;serif"/>
          <w:b w:val="false"/>
          <w:color w:val="000000"/>
          <w:sz w:val="20"/>
        </w:rPr>
        <w:t xml:space="preserve">In May 2025, the FASB issued ASU No. 2025-03, </w:t>
      </w:r>
      <w:r>
        <w:rPr>
          <w:rFonts w:ascii="Times New Roman;serif" w:hAnsi="Times New Roman;serif"/>
          <w:b w:val="false"/>
          <w:i/>
          <w:color w:val="000000"/>
          <w:sz w:val="20"/>
        </w:rPr>
        <w:t>Business Combinations (Topic 805) and Consolidation (Topic 810): Determining the Accounting Acquirer in the Acquisition of a Variable Interest Entity</w:t>
      </w:r>
      <w:r>
        <w:rPr>
          <w:rFonts w:ascii="Times New Roman;serif" w:hAnsi="Times New Roman;serif"/>
          <w:b w:val="false"/>
          <w:color w:val="000000"/>
          <w:sz w:val="20"/>
        </w:rPr>
        <w:t>. The ASU revises current guidance for determining the accounting acquirer for a transaction effected primarily by exchanging equity interests in which the legal acquiree is a VIE that meets the definition of a business. The amendments differ from current GAAP because, for certain transactions, they replace the requirement that the primary beneficiary of a VIE is always the acquirer with an assessment that requires an entity to consider the factors to determine which entity is the accounting acquirer. Under the amendments, acquisition transactions in which the legal acquiree is a VIE will, in more instances, result in the same accounting outcomes as economically similar transactions in which the legal acquiree is a voting interest entity. The ASU does not change the accounting for a transaction determined to be a reverse acquisition or a transaction in which the legal acquirer is not a business and is determined to be the accounting acquiree. The new guidance will become effective for interim and annual reporting periods beginning on January 1, 2027, will require a prospective transition method for business combinations that occur after the initial adoption date, and early adoption is permitted. Management is currently evaluating this ASU to determine its impact on the Company's disclosures.</w:t>
      </w:r>
    </w:p>
    <w:p>
      <w:pPr>
        <w:pStyle w:val="TextBody"/>
        <w:bidi w:val="0"/>
        <w:spacing w:lineRule="auto" w:line="288" w:before="200" w:after="200"/>
        <w:ind w:left="0" w:right="0" w:firstLine="360"/>
        <w:jc w:val="both"/>
        <w:rPr/>
      </w:pPr>
      <w:r>
        <w:rPr>
          <w:rFonts w:ascii="Times New Roman;serif" w:hAnsi="Times New Roman;serif"/>
          <w:b w:val="false"/>
          <w:color w:val="000000"/>
          <w:sz w:val="20"/>
        </w:rPr>
        <w:t xml:space="preserve">In September 2025, the FASB issued ASU No. 2025-06, </w:t>
      </w:r>
      <w:r>
        <w:rPr>
          <w:rFonts w:ascii="Times New Roman;serif" w:hAnsi="Times New Roman;serif"/>
          <w:b w:val="false"/>
          <w:i/>
          <w:color w:val="000000"/>
          <w:sz w:val="20"/>
        </w:rPr>
        <w:t xml:space="preserve">Intangibles—Goodwill and Other—Internal-Use Software (Subtopic 350-40): Targeted Improvements to the Accounting for Internal-Use Software. </w:t>
      </w:r>
      <w:r>
        <w:rPr>
          <w:rFonts w:ascii="Times New Roman;serif" w:hAnsi="Times New Roman;serif"/>
          <w:b w:val="false"/>
          <w:color w:val="000000"/>
          <w:sz w:val="20"/>
        </w:rPr>
        <w:t>The ASU eliminates all references to prescriptive and sequential software project stages throughout Subtopic 350-40. An entity is required to begin capitalizing software costs when both of the following occur: (1) management has authorized and committed to funding the software project and (2) it is probable that the project will be completed and the software will be used to perform the function intended (referred to as the “probable-to-complete recognition threshold”). The ASU is effective for annual reporting periods beginning after December 15, 2027 and interim reporting periods within those annual reporting periods. Entities may adopt the new guidance using a prospective transition approach, a modified transition approach that is based on the status of the project and whether software costs were capitalized before the date of adoption, or a retrospective transition approach. Early adoption is permitted as of the beginning of an annual reporting period. The Company is currently evaluating the impact this ASU will have on its consolidated financial statements and related disclosures.</w:t>
      </w:r>
    </w:p>
    <w:p>
      <w:pPr>
        <w:pStyle w:val="TextBody"/>
        <w:bidi w:val="0"/>
        <w:spacing w:lineRule="auto" w:line="288" w:before="200" w:after="200"/>
        <w:ind w:left="0" w:right="0" w:firstLine="360"/>
        <w:jc w:val="both"/>
        <w:rPr/>
      </w:pPr>
      <w:r>
        <w:rPr>
          <w:rFonts w:ascii="Times New Roman;serif" w:hAnsi="Times New Roman;serif"/>
          <w:b w:val="false"/>
          <w:color w:val="000000"/>
          <w:sz w:val="20"/>
        </w:rPr>
        <w:t>In December 2025, the FASB issued ASU No. 2025</w:t>
        <w:noBreakHyphen/>
        <w:t xml:space="preserve">12, </w:t>
      </w:r>
      <w:r>
        <w:rPr>
          <w:rFonts w:ascii="Times New Roman;serif" w:hAnsi="Times New Roman;serif"/>
          <w:b w:val="false"/>
          <w:i/>
          <w:color w:val="000000"/>
          <w:sz w:val="20"/>
        </w:rPr>
        <w:t>Codification Improvements</w:t>
      </w:r>
      <w:r>
        <w:rPr>
          <w:rFonts w:ascii="Times New Roman;serif" w:hAnsi="Times New Roman;serif"/>
          <w:b w:val="false"/>
          <w:color w:val="000000"/>
          <w:sz w:val="20"/>
        </w:rPr>
        <w:t xml:space="preserve">. The ASU provides technical corrections and clarifications to various topics, including diluted earnings per share, the transfer of receivables from contracts with customers, among other improvements. The ASU is effective for annual reporting periods beginning after December 15, 2026, and interim reporting periods within those annual periods. Early adoption is permitted in an interim or annual period in which financial statements have not yet been issued or made available for issuance. The Company is currently evaluating the impact this ASU will have on its consolidated financial statements and related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20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COSTAR GROUP,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CONDENSED CONSOLIDATED FINANCIAL STATEMENTS (unaudited)</w:t>
      </w:r>
    </w:p>
    <w:p>
      <w:pPr>
        <w:pStyle w:val="TextBody"/>
        <w:bidi w:val="0"/>
        <w:spacing w:before="200" w:after="200"/>
        <w:ind w:left="0" w:right="0" w:hanging="720"/>
        <w:jc w:val="left"/>
        <w:rPr/>
      </w:pPr>
      <w:r>
        <w:rPr/>
      </w:r>
    </w:p>
    <w:p>
      <w:pPr>
        <w:pStyle w:val="TextBody"/>
        <w:bidi w:val="0"/>
        <w:spacing w:lineRule="auto" w:line="288" w:before="200" w:after="200"/>
        <w:ind w:left="0" w:right="0" w:hanging="7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3.    REVENUE FROM CONTRACTS WITH CUSTOMERS</w:t>
      </w:r>
    </w:p>
    <w:p>
      <w:pPr>
        <w:pStyle w:val="TextBody"/>
        <w:bidi w:val="0"/>
        <w:spacing w:lineRule="auto" w:line="288" w:before="200" w:after="200"/>
        <w:ind w:left="0" w:right="0" w:firstLine="36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Disaggregated Revenue</w:t>
      </w:r>
    </w:p>
    <w:p>
      <w:pPr>
        <w:pStyle w:val="TextBody"/>
        <w:bidi w:val="0"/>
        <w:spacing w:lineRule="auto" w:line="288" w:before="160" w:after="20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Revenue by operating segment and type of service consists of the following (in millions):</w:t>
      </w:r>
    </w:p>
    <w:tbl>
      <w:tblPr>
        <w:tblW w:w="7755" w:type="dxa"/>
        <w:jc w:val="left"/>
        <w:tblInd w:w="0" w:type="dxa"/>
        <w:tblLayout w:type="fixed"/>
        <w:tblCellMar>
          <w:top w:w="28" w:type="dxa"/>
          <w:left w:w="28" w:type="dxa"/>
          <w:bottom w:w="28" w:type="dxa"/>
          <w:right w:w="28" w:type="dxa"/>
        </w:tblCellMar>
      </w:tblPr>
      <w:tblGrid>
        <w:gridCol w:w="928"/>
        <w:gridCol w:w="817"/>
        <w:gridCol w:w="819"/>
        <w:gridCol w:w="291"/>
        <w:gridCol w:w="644"/>
        <w:gridCol w:w="150"/>
        <w:gridCol w:w="150"/>
        <w:gridCol w:w="150"/>
        <w:gridCol w:w="150"/>
        <w:gridCol w:w="291"/>
        <w:gridCol w:w="644"/>
        <w:gridCol w:w="150"/>
        <w:gridCol w:w="109"/>
        <w:gridCol w:w="109"/>
        <w:gridCol w:w="109"/>
        <w:gridCol w:w="211"/>
        <w:gridCol w:w="616"/>
        <w:gridCol w:w="109"/>
        <w:gridCol w:w="109"/>
        <w:gridCol w:w="109"/>
        <w:gridCol w:w="109"/>
        <w:gridCol w:w="211"/>
        <w:gridCol w:w="616"/>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0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CoStar</w:t>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LoopNet</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Commercial Real Estate</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Commercial Real Estate</w:t>
            </w:r>
          </w:p>
        </w:tc>
        <w:tc>
          <w:tcPr>
            <w:tcW w:w="9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1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firstLine="360"/>
        <w:jc w:val="both"/>
        <w:rPr/>
      </w:pPr>
      <w:r>
        <w:rPr/>
      </w:r>
    </w:p>
    <w:p>
      <w:pPr>
        <w:pStyle w:val="TextBody"/>
        <w:bidi w:val="0"/>
        <w:spacing w:lineRule="auto" w:line="288" w:before="0" w:after="20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has recast certain prior period disclosures to align with the way it internally manages the business. See Note 2 for additional information.</w:t>
      </w:r>
    </w:p>
    <w:p>
      <w:pPr>
        <w:pStyle w:val="TextBody"/>
        <w:bidi w:val="0"/>
        <w:spacing w:lineRule="auto" w:line="288" w:before="200" w:after="20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is domiciled in the U.S. Revenue earned outside the U.S. was $150 million and $61 million for the three months ended June 30, 2026 and 2025, respectively, and $287 million and $109 million for the six months ended June 30, 2026 and 2025, respectively.</w:t>
      </w:r>
    </w:p>
    <w:p>
      <w:pPr>
        <w:pStyle w:val="TextBody"/>
        <w:bidi w:val="0"/>
        <w:spacing w:lineRule="auto" w:line="288" w:before="200" w:after="200"/>
        <w:ind w:left="0" w:right="0" w:firstLine="36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Deferred Revenue</w:t>
      </w:r>
    </w:p>
    <w:p>
      <w:pPr>
        <w:pStyle w:val="TextBody"/>
        <w:bidi w:val="0"/>
        <w:spacing w:lineRule="auto" w:line="288" w:before="0" w:after="200"/>
        <w:ind w:left="0" w:right="0" w:firstLine="360"/>
        <w:jc w:val="both"/>
        <w:rPr>
          <w:rFonts w:ascii="Times New Roman;serif" w:hAnsi="Times New Roman;serif"/>
          <w:b w:val="false"/>
          <w:color w:val="252525"/>
          <w:sz w:val="20"/>
          <w:shd w:fill="FFFFFF" w:val="clear"/>
        </w:rPr>
      </w:pPr>
      <w:r>
        <w:rPr>
          <w:rFonts w:ascii="Times New Roman;serif" w:hAnsi="Times New Roman;serif"/>
          <w:b w:val="false"/>
          <w:color w:val="252525"/>
          <w:sz w:val="20"/>
          <w:shd w:fill="FFFFFF" w:val="clear"/>
        </w:rPr>
        <w:t>Deferred revenue as of June 30, 2026 and December 31, 2025 was as follows (in millions):</w:t>
      </w:r>
    </w:p>
    <w:tbl>
      <w:tblPr>
        <w:tblW w:w="8363" w:type="dxa"/>
        <w:jc w:val="left"/>
        <w:tblInd w:w="0" w:type="dxa"/>
        <w:tblLayout w:type="fixed"/>
        <w:tblCellMar>
          <w:top w:w="28" w:type="dxa"/>
          <w:left w:w="28" w:type="dxa"/>
          <w:bottom w:w="28" w:type="dxa"/>
          <w:right w:w="28" w:type="dxa"/>
        </w:tblCellMar>
      </w:tblPr>
      <w:tblGrid>
        <w:gridCol w:w="706"/>
        <w:gridCol w:w="620"/>
        <w:gridCol w:w="623"/>
        <w:gridCol w:w="1013"/>
        <w:gridCol w:w="1013"/>
        <w:gridCol w:w="1018"/>
        <w:gridCol w:w="342"/>
        <w:gridCol w:w="756"/>
        <w:gridCol w:w="176"/>
        <w:gridCol w:w="109"/>
        <w:gridCol w:w="109"/>
        <w:gridCol w:w="109"/>
        <w:gridCol w:w="448"/>
        <w:gridCol w:w="992"/>
        <w:gridCol w:w="329"/>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w:t>
            </w:r>
          </w:p>
        </w:tc>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Sheet Caption</w:t>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w:t>
            </w:r>
          </w:p>
        </w:tc>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w:t>
            </w:r>
          </w:p>
        </w:tc>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and other long-term liabilities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revenue</w:t>
            </w:r>
          </w:p>
        </w:tc>
        <w:tc>
          <w:tcPr>
            <w:tcW w:w="3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3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Changes in deferred revenue for the period were as follows (in millions):</w:t>
      </w:r>
    </w:p>
    <w:tbl>
      <w:tblPr>
        <w:tblW w:w="7835" w:type="dxa"/>
        <w:jc w:val="left"/>
        <w:tblInd w:w="0" w:type="dxa"/>
        <w:tblLayout w:type="fixed"/>
        <w:tblCellMar>
          <w:top w:w="28" w:type="dxa"/>
          <w:left w:w="28" w:type="dxa"/>
          <w:bottom w:w="28" w:type="dxa"/>
          <w:right w:w="28" w:type="dxa"/>
        </w:tblCellMar>
      </w:tblPr>
      <w:tblGrid>
        <w:gridCol w:w="2538"/>
        <w:gridCol w:w="2230"/>
        <w:gridCol w:w="2236"/>
        <w:gridCol w:w="211"/>
        <w:gridCol w:w="466"/>
        <w:gridCol w:w="154"/>
      </w:tblGrid>
      <w:tr>
        <w:trPr/>
        <w:tc>
          <w:tcPr>
            <w:tcW w:w="2538"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in the current period from the amounts in the beginning balance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New deferrals, net of amounts recognized in the current period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20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COSTAR GROUP,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CONDENSED CONSOLIDATED FINANCIAL STATEMENTS (unaudited)</w:t>
      </w:r>
    </w:p>
    <w:p>
      <w:pPr>
        <w:pStyle w:val="TextBody"/>
        <w:bidi w:val="0"/>
        <w:spacing w:lineRule="auto" w:line="288" w:before="200" w:after="200"/>
        <w:ind w:left="0" w:right="0" w:firstLine="36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Contract Assets</w:t>
      </w:r>
    </w:p>
    <w:p>
      <w:pPr>
        <w:pStyle w:val="TextBody"/>
        <w:bidi w:val="0"/>
        <w:spacing w:lineRule="auto" w:line="288" w:before="0" w:after="20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Contract assets are generated when contractual billing schedules differ from revenue recognition timing and represent a conditional right to consideration for satisfied performance obligations that becomes a receivable when the conditions are satisfied. Contract assets as of June 30, 2026 and December 31, 2025 were as follows (in millions):</w:t>
      </w:r>
    </w:p>
    <w:tbl>
      <w:tblPr>
        <w:tblW w:w="8576" w:type="dxa"/>
        <w:jc w:val="left"/>
        <w:tblInd w:w="0" w:type="dxa"/>
        <w:tblLayout w:type="fixed"/>
        <w:tblCellMar>
          <w:top w:w="28" w:type="dxa"/>
          <w:left w:w="28" w:type="dxa"/>
          <w:bottom w:w="28" w:type="dxa"/>
          <w:right w:w="28" w:type="dxa"/>
        </w:tblCellMar>
      </w:tblPr>
      <w:tblGrid>
        <w:gridCol w:w="641"/>
        <w:gridCol w:w="563"/>
        <w:gridCol w:w="566"/>
        <w:gridCol w:w="1143"/>
        <w:gridCol w:w="1143"/>
        <w:gridCol w:w="1148"/>
        <w:gridCol w:w="467"/>
        <w:gridCol w:w="567"/>
        <w:gridCol w:w="241"/>
        <w:gridCol w:w="109"/>
        <w:gridCol w:w="109"/>
        <w:gridCol w:w="109"/>
        <w:gridCol w:w="514"/>
        <w:gridCol w:w="880"/>
        <w:gridCol w:w="376"/>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w:t>
            </w:r>
          </w:p>
        </w:tc>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Sheet Caption</w:t>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w:t>
            </w:r>
          </w:p>
        </w:tc>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4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w:t>
            </w:r>
          </w:p>
        </w:tc>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Deposits and other assets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 assets</w:t>
            </w:r>
          </w:p>
        </w:tc>
        <w:tc>
          <w:tcPr>
            <w:tcW w:w="3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Unsatisfied Performance Obligations</w:t>
      </w:r>
    </w:p>
    <w:p>
      <w:pPr>
        <w:pStyle w:val="TextBody"/>
        <w:bidi w:val="0"/>
        <w:spacing w:lineRule="auto" w:line="288" w:before="0" w:after="20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Remaining contract consideration for which revenue had not been recognized due to unsatisfied performance obligations was approximately $599 million at June 30, 2026, which the Company expects to recognize over the next five years. This amount does not include contract consideration for contracts with a duration of one year or less.</w:t>
      </w:r>
    </w:p>
    <w:p>
      <w:pPr>
        <w:pStyle w:val="TextBody"/>
        <w:bidi w:val="0"/>
        <w:spacing w:lineRule="auto" w:line="288" w:before="200" w:after="200"/>
        <w:ind w:left="0" w:right="0" w:firstLine="36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Commissions</w:t>
      </w:r>
    </w:p>
    <w:p>
      <w:pPr>
        <w:pStyle w:val="TextBody"/>
        <w:bidi w:val="0"/>
        <w:spacing w:lineRule="auto" w:line="288" w:before="0" w:after="20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Commissions expense is included in selling and marketing (excluding customer base amortization) expense in the Company's condensed consolidated statements of operations. Commissions expense activity for the three and six months ended June 30, 2026 and 2025 was as follows (in millions):</w:t>
      </w:r>
    </w:p>
    <w:tbl>
      <w:tblPr>
        <w:tblW w:w="7998" w:type="dxa"/>
        <w:jc w:val="left"/>
        <w:tblInd w:w="0" w:type="dxa"/>
        <w:tblLayout w:type="fixed"/>
        <w:tblCellMar>
          <w:top w:w="28" w:type="dxa"/>
          <w:left w:w="28" w:type="dxa"/>
          <w:bottom w:w="28" w:type="dxa"/>
          <w:right w:w="28" w:type="dxa"/>
        </w:tblCellMar>
      </w:tblPr>
      <w:tblGrid>
        <w:gridCol w:w="1394"/>
        <w:gridCol w:w="1227"/>
        <w:gridCol w:w="1233"/>
        <w:gridCol w:w="234"/>
        <w:gridCol w:w="400"/>
        <w:gridCol w:w="121"/>
        <w:gridCol w:w="121"/>
        <w:gridCol w:w="121"/>
        <w:gridCol w:w="121"/>
        <w:gridCol w:w="234"/>
        <w:gridCol w:w="400"/>
        <w:gridCol w:w="121"/>
        <w:gridCol w:w="109"/>
        <w:gridCol w:w="109"/>
        <w:gridCol w:w="109"/>
        <w:gridCol w:w="211"/>
        <w:gridCol w:w="466"/>
        <w:gridCol w:w="109"/>
        <w:gridCol w:w="109"/>
        <w:gridCol w:w="109"/>
        <w:gridCol w:w="109"/>
        <w:gridCol w:w="211"/>
        <w:gridCol w:w="466"/>
        <w:gridCol w:w="154"/>
      </w:tblGrid>
      <w:tr>
        <w:trPr/>
        <w:tc>
          <w:tcPr>
            <w:tcW w:w="139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 incurred</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 capitalized in the current period</w:t>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commissions costs</w:t>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commissions expense</w:t>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For the six months ended June 30, 2026 and 2025, the Company did not recognize any impairment losses on commissions.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4.    ACQUISITIONS</w:t>
      </w:r>
    </w:p>
    <w:p>
      <w:pPr>
        <w:pStyle w:val="TextBody"/>
        <w:bidi w:val="0"/>
        <w:spacing w:lineRule="auto" w:line="288" w:before="200" w:after="200"/>
        <w:ind w:left="0" w:right="0" w:firstLine="36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Zonda</w:t>
      </w:r>
    </w:p>
    <w:p>
      <w:pPr>
        <w:pStyle w:val="TextBody"/>
        <w:bidi w:val="0"/>
        <w:spacing w:lineRule="auto" w:line="288" w:before="200" w:after="20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May, 2026, the Company entered into the Zonda Agreement, pursuant to which the Company agreed to acquire all of the outstanding equity interests in Zonda for $800 million in cash, subject to customary working capital and other post-closing adjustments. Zonda owns a proprietary, lot-level database covering new home communities, land development activity, construction status, home sales, and builder operations. This data and the software built around it are embedded in builder workflows and are used to support underwriting, land strategy, capital allocation, development planning, forecasting, and sales operations across the industry. Zonda also operates NewHomeSource and Livabl, leading online new home marketplaces in the U.S. and Canada respectively. The Zonda Agreement is subject to customary closing conditions and regulatory review. The Company currently expects to close the acquisition in the second half of 2026.</w:t>
      </w:r>
    </w:p>
    <w:p>
      <w:pPr>
        <w:pStyle w:val="TextBody"/>
        <w:bidi w:val="0"/>
        <w:spacing w:lineRule="auto" w:line="288" w:before="200" w:after="200"/>
        <w:ind w:left="0" w:right="0" w:firstLine="36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Domain</w:t>
      </w:r>
    </w:p>
    <w:p>
      <w:pPr>
        <w:pStyle w:val="TextBody"/>
        <w:bidi w:val="0"/>
        <w:spacing w:lineRule="auto" w:line="288" w:before="200" w:after="200"/>
        <w:ind w:left="0" w:right="0" w:firstLine="360"/>
        <w:jc w:val="both"/>
        <w:rPr>
          <w:shd w:fill="FFFFFF" w:val="clear"/>
        </w:rPr>
      </w:pPr>
      <w:r>
        <w:rPr>
          <w:rFonts w:ascii="Times New Roman;serif" w:hAnsi="Times New Roman;serif"/>
          <w:b w:val="false"/>
          <w:color w:val="000000"/>
          <w:sz w:val="20"/>
          <w:shd w:fill="FFFFFF" w:val="clear"/>
        </w:rPr>
        <w:t>In February 2025, in connection with the Domain Proposal, the Company acquired approximately 17% of the ordinary shares of Domain, one of Australia's leading property marketplaces, at A$4.20 per share for a total purchase price of A$452 million ($285 million). In May 2025, the Company entered into an agreement to acquire the remaining issued capital of Domain not previously held by CoStar Group by way of scheme of arrangement. In August 2025, the Company completed the Domain Acquisition pursuant to which (i) the Company spent A$2.5 billion</w:t>
      </w:r>
      <w:r>
        <w:rPr>
          <w:color w:val="000000"/>
          <w:shd w:fill="FFFFFF" w:val="clear"/>
        </w:rPr>
        <w:t xml:space="preserve"> </w:t>
      </w:r>
      <w:r>
        <w:rPr>
          <w:rFonts w:ascii="Times New Roman;serif" w:hAnsi="Times New Roman;serif"/>
          <w:b w:val="false"/>
          <w:color w:val="000000"/>
          <w:sz w:val="20"/>
          <w:shd w:fill="FFFFFF" w:val="clear"/>
        </w:rPr>
        <w:t xml:space="preserve">($1.6 billion) to acquire the remaining 83% of Domain's ordinary shares; and (ii) Domain shareholders received total cash consideration of A$4.43 per Domain ordinary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200"/>
        <w:ind w:left="0" w:right="0" w:firstLine="36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less a one-time special dividend of A$0.088 per share declared and paid by Domain prior to closing. The Domain Acquisition positions the Company to leverage Domain's portfolio of property brands in Australia and CoStar's technology, scale, and innovation to improve customer experience, value, and access to CoStar's brands and product offerings.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the closing of the Domain Acquisition, the fair value of the Company's 17% investment was approximately A$465 million ($300 million), measured based on the fair value implied by the consideration transferred. The acquisition was completed as a step-acquisition.</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total purchase consideration for the Domain Acquisition was $1.6 billion, which consisted of the following (in millions):</w:t>
      </w:r>
    </w:p>
    <w:tbl>
      <w:tblPr>
        <w:tblW w:w="7175" w:type="dxa"/>
        <w:jc w:val="left"/>
        <w:tblInd w:w="0" w:type="dxa"/>
        <w:tblLayout w:type="fixed"/>
        <w:tblCellMar>
          <w:top w:w="28" w:type="dxa"/>
          <w:left w:w="28" w:type="dxa"/>
          <w:bottom w:w="28" w:type="dxa"/>
          <w:right w:w="28" w:type="dxa"/>
        </w:tblCellMar>
      </w:tblPr>
      <w:tblGrid>
        <w:gridCol w:w="2231"/>
        <w:gridCol w:w="1963"/>
        <w:gridCol w:w="2000"/>
        <w:gridCol w:w="211"/>
        <w:gridCol w:w="616"/>
        <w:gridCol w:w="154"/>
      </w:tblGrid>
      <w:tr>
        <w:trPr/>
        <w:tc>
          <w:tcPr>
            <w:tcW w:w="2231"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existing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cash settled equity awards related to pre-combination 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consideration</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previously held equity interests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amounts recorded for acquired assets and assumed liabilities recorded at their fair value as of the closing date of the Domain Acquisition (in millions):</w:t>
      </w:r>
    </w:p>
    <w:tbl>
      <w:tblPr>
        <w:tblW w:w="8294" w:type="dxa"/>
        <w:jc w:val="left"/>
        <w:tblInd w:w="0" w:type="dxa"/>
        <w:tblLayout w:type="fixed"/>
        <w:tblCellMar>
          <w:top w:w="28" w:type="dxa"/>
          <w:left w:w="28" w:type="dxa"/>
          <w:bottom w:w="28" w:type="dxa"/>
          <w:right w:w="28" w:type="dxa"/>
        </w:tblCellMar>
      </w:tblPr>
      <w:tblGrid>
        <w:gridCol w:w="1771"/>
        <w:gridCol w:w="1555"/>
        <w:gridCol w:w="1564"/>
        <w:gridCol w:w="731"/>
        <w:gridCol w:w="2136"/>
        <w:gridCol w:w="537"/>
      </w:tblGrid>
      <w:tr>
        <w:trPr/>
        <w:tc>
          <w:tcPr>
            <w:tcW w:w="1771"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Updated Preliminary: August 27, 2025</w:t>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7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4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931</w:t>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28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28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28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 net</w:t>
            </w:r>
          </w:p>
        </w:tc>
        <w:tc>
          <w:tcPr>
            <w:tcW w:w="28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identifiable net assets acquired</w:t>
            </w:r>
          </w:p>
        </w:tc>
        <w:tc>
          <w:tcPr>
            <w:tcW w:w="34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w:t>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of NCI in Domain’s partially-owned subsidiaries</w:t>
            </w:r>
          </w:p>
        </w:tc>
        <w:tc>
          <w:tcPr>
            <w:tcW w:w="28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8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1,912 </w:t>
            </w:r>
          </w:p>
        </w:tc>
        <w:tc>
          <w:tcPr>
            <w:tcW w:w="53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Generally, the net assets of Domain were recorded at their estimated fair values upon initial consolidation. In valuing the acquired assets, assumed liabilities and NCI, fair value estimates were based primarily on future expected cash flows, market rate assumptions for contractual obligations, and appropriate discount rates. The key assumptions used in the valuation include discount rates, royalty rates, projected revenue growth rates, customer attrition rates, and profit margins.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purchase price allocation is preliminary and subject to change during the measurement period as additional information is obtained about the facts and circumstances that existed at closing. Any material adjustments to provisional amounts identified during the measurement period will be recognized and disclosed in the reporting period in which the adjustment amounts are determined. The primary areas that remain subject to additional information include certain tax matters and contingencies.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200"/>
        <w:ind w:left="0" w:right="0" w:firstLine="36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values (in millions) of the identifiable intangible assets acquired in the Domain Acquisition, their related estimated useful lives (in years), and their respective amortization methods:</w:t>
      </w:r>
    </w:p>
    <w:tbl>
      <w:tblPr>
        <w:tblW w:w="8466" w:type="dxa"/>
        <w:jc w:val="left"/>
        <w:tblInd w:w="0" w:type="dxa"/>
        <w:tblLayout w:type="fixed"/>
        <w:tblCellMar>
          <w:top w:w="28" w:type="dxa"/>
          <w:left w:w="28" w:type="dxa"/>
          <w:bottom w:w="28" w:type="dxa"/>
          <w:right w:w="28" w:type="dxa"/>
        </w:tblCellMar>
      </w:tblPr>
      <w:tblGrid>
        <w:gridCol w:w="722"/>
        <w:gridCol w:w="635"/>
        <w:gridCol w:w="637"/>
        <w:gridCol w:w="513"/>
        <w:gridCol w:w="1137"/>
        <w:gridCol w:w="269"/>
        <w:gridCol w:w="109"/>
        <w:gridCol w:w="109"/>
        <w:gridCol w:w="109"/>
        <w:gridCol w:w="639"/>
        <w:gridCol w:w="639"/>
        <w:gridCol w:w="641"/>
        <w:gridCol w:w="109"/>
        <w:gridCol w:w="109"/>
        <w:gridCol w:w="109"/>
        <w:gridCol w:w="580"/>
        <w:gridCol w:w="580"/>
        <w:gridCol w:w="820"/>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Amortization Method</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5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Accelerated</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Brand and trade names</w:t>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Straight-line</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Straight-line</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5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2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Goodwill is calculated as the excess of the consideration transferred over the net assets recognized and represents the future economic benefits arising from other assets acquired that could not be individually identified and separately recognized. Specifically, the goodwill recorded as part of the Domain Acquisition includes, but is not limited to: (i) the expected synergies and other benefits that the Company believes will result from combining Domain's operations with the Company's operations and (ii) any intangible assets that do not qualify for separate recognition, such as the assembled workforce. Of the $1.2 billion of goodwill recorded as part of the Domain Acquisition, $994 million was allocated to the Residential Real Estate segment and $250 million to the Commercial Real Estate segment, of which none is expected to be deductible for income tax purposes. Transaction costs associated with the Domain Acquisition were $20 million for the year ended December 31, 2025 and consisted primarily of advisory, legal, accounting, and other professional service costs.</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Matterport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28, 2025, the Company completed the Matterport Acquisition. Matterport is a leader in the digitization and datafication of the built world. Matterport’s pioneering technology has set the standard for digitizing, accessing, and managing buildings, spaces, and places online. Matterport’s platform, composed of innovative software, spatial data-driven data science, and 3D capture technology, has broken down the barriers that have kept the largest asset class in the world, buildings and physical spaces, offline and underutilized for so long. The Company is integrating Matterport's 3D digital twin technology with its information service products and online marketplaces to allow buyers, sellers, and renters to explore properties with greater depth and insight.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terms and conditions of the Matterport Merger Agreement, the Company acquired Matterport, with each share of Matterport Common Stock outstanding immediately prior to the closing of the Matterport Acquisition exchanged for (i) 0.03552 of a CoStar Group Share, the Matterport Merger Exchange Ratio, and (ii) $2.75 in cash, with fractional shares of CoStar Group Shares paid in cash. </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part of the Matterport Acquisition, the Company issued certain rollover equity awards to the employees of Matterport, which included approximately 2.3 million shares of restricted stock units and approximately 1.8 million stock option awards. The total fair value of the rollover equity awards was $273 million, of which the portion attributable to services performed prior to the acquisition date was allocated to purchase consideration. The remaining fair value was allocated to future services and will be expensed over the remaining service periods as stock-based compensation.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total purchase consideration for the Matterport Acquisition was $1.9 billion, which consisted of the following (in millions):</w:t>
      </w:r>
    </w:p>
    <w:tbl>
      <w:tblPr>
        <w:tblW w:w="4491" w:type="dxa"/>
        <w:jc w:val="left"/>
        <w:tblInd w:w="0" w:type="dxa"/>
        <w:tblLayout w:type="fixed"/>
        <w:tblCellMar>
          <w:top w:w="28" w:type="dxa"/>
          <w:left w:w="28" w:type="dxa"/>
          <w:bottom w:w="28" w:type="dxa"/>
          <w:right w:w="28" w:type="dxa"/>
        </w:tblCellMar>
      </w:tblPr>
      <w:tblGrid>
        <w:gridCol w:w="1266"/>
        <w:gridCol w:w="1110"/>
        <w:gridCol w:w="1134"/>
        <w:gridCol w:w="211"/>
        <w:gridCol w:w="616"/>
        <w:gridCol w:w="154"/>
      </w:tblGrid>
      <w:tr>
        <w:trPr/>
        <w:tc>
          <w:tcPr>
            <w:tcW w:w="126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CoStar Group Shares (11.7 million shares)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rollover awards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200"/>
        <w:ind w:left="0" w:right="0" w:firstLine="36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amounts recorded for acquired assets and assumed liabilities recorded at their fair value as of the closing date of the Matterport Acquisition (in millions):</w:t>
      </w:r>
    </w:p>
    <w:tbl>
      <w:tblPr>
        <w:tblW w:w="6150" w:type="dxa"/>
        <w:jc w:val="left"/>
        <w:tblInd w:w="0" w:type="dxa"/>
        <w:tblLayout w:type="fixed"/>
        <w:tblCellMar>
          <w:top w:w="28" w:type="dxa"/>
          <w:left w:w="28" w:type="dxa"/>
          <w:bottom w:w="28" w:type="dxa"/>
          <w:right w:w="28" w:type="dxa"/>
        </w:tblCellMar>
      </w:tblPr>
      <w:tblGrid>
        <w:gridCol w:w="1402"/>
        <w:gridCol w:w="1231"/>
        <w:gridCol w:w="1237"/>
        <w:gridCol w:w="490"/>
        <w:gridCol w:w="1432"/>
        <w:gridCol w:w="358"/>
      </w:tblGrid>
      <w:tr>
        <w:trPr/>
        <w:tc>
          <w:tcPr>
            <w:tcW w:w="1402"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Final: February 28, 2025</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4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 for sale investments</w:t>
            </w:r>
          </w:p>
        </w:tc>
        <w:tc>
          <w:tcPr>
            <w:tcW w:w="1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 of valuation allowance</w:t>
            </w:r>
          </w:p>
        </w:tc>
        <w:tc>
          <w:tcPr>
            <w:tcW w:w="1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accrual</w:t>
            </w:r>
          </w:p>
        </w:tc>
        <w:tc>
          <w:tcPr>
            <w:tcW w:w="1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 net</w:t>
            </w:r>
          </w:p>
        </w:tc>
        <w:tc>
          <w:tcPr>
            <w:tcW w:w="1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identifiable net assets acquired</w:t>
            </w:r>
          </w:p>
        </w:tc>
        <w:tc>
          <w:tcPr>
            <w:tcW w:w="4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3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Generally, the net assets of Matterport were recorded at their estimated fair values. In valuing the acquired assets and assumed liabilities, fair value estimates were based primarily on future expected cash flows, market rate assumptions for contractual obligations, and appropriate discount rates. The key assumptions used in the valuation include discount rates, royalty rates, projected revenue growth rates, customer attrition rates, and profit margins.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values (in millions) of the identifiable intangible assets acquired in the Matterport Acquisition, their related estimated useful lives (in years), and their respective amortization methods:</w:t>
      </w:r>
    </w:p>
    <w:tbl>
      <w:tblPr>
        <w:tblW w:w="8467" w:type="dxa"/>
        <w:jc w:val="left"/>
        <w:tblInd w:w="0" w:type="dxa"/>
        <w:tblLayout w:type="fixed"/>
        <w:tblCellMar>
          <w:top w:w="28" w:type="dxa"/>
          <w:left w:w="28" w:type="dxa"/>
          <w:bottom w:w="28" w:type="dxa"/>
          <w:right w:w="28" w:type="dxa"/>
        </w:tblCellMar>
      </w:tblPr>
      <w:tblGrid>
        <w:gridCol w:w="723"/>
        <w:gridCol w:w="634"/>
        <w:gridCol w:w="638"/>
        <w:gridCol w:w="513"/>
        <w:gridCol w:w="1137"/>
        <w:gridCol w:w="269"/>
        <w:gridCol w:w="109"/>
        <w:gridCol w:w="109"/>
        <w:gridCol w:w="109"/>
        <w:gridCol w:w="639"/>
        <w:gridCol w:w="639"/>
        <w:gridCol w:w="641"/>
        <w:gridCol w:w="109"/>
        <w:gridCol w:w="109"/>
        <w:gridCol w:w="109"/>
        <w:gridCol w:w="580"/>
        <w:gridCol w:w="580"/>
        <w:gridCol w:w="820"/>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Amortization Method</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5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Straight-line</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Accelerated</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Straight-line</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5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2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Goodwill is calculated as the excess of the consideration transferred over the net assets recognized and represents the future economic benefits arising from other assets acquired that could not be individually identified and separately recognized. Specifically, the goodwill recorded as part of the Matterport Acquisition includes, but is not limited to: (i) the expected synergies and other benefits that the Company believes will result from combining Matterport's operations with the Company's operations and (ii) any intangible assets that do not qualify for separate recognition, such as the assembled workforce. The $1.1 billion of goodwill recorded as part of the Matterport Acquisition was associated with the Company's North America operating segment prior to the reallocation described in Note 2, of which none is expected to be deductible for income tax purposes. Transaction costs associated with Matterport Acquisition were $18 million during the six months ended June 30, 2025, and consist primarily of legal, accounting, and other professional service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200"/>
        <w:ind w:left="0" w:right="0" w:firstLine="36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20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Pro Forma Financial Information (unaudited)</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unaudited pro forma financial information presented below reflects the condensed consolidated results of operations of the Company assuming both the Domain Acquisition and Matterport Acquisition had taken place on January 1, 2024. The unaudited pro forma financial information, as presented below, is for informational purposes only and is not necessarily indicative of the results of operations that would have been achieved if the acquisitions had not taken place on the dates listed above.</w:t>
      </w:r>
    </w:p>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unaudited pro forma financial information, in the aggregate, was as follows (in millions):</w:t>
      </w:r>
    </w:p>
    <w:tbl>
      <w:tblPr>
        <w:tblW w:w="7839" w:type="dxa"/>
        <w:jc w:val="left"/>
        <w:tblInd w:w="0" w:type="dxa"/>
        <w:tblLayout w:type="fixed"/>
        <w:tblCellMar>
          <w:top w:w="28" w:type="dxa"/>
          <w:left w:w="28" w:type="dxa"/>
          <w:bottom w:w="28" w:type="dxa"/>
          <w:right w:w="28" w:type="dxa"/>
        </w:tblCellMar>
      </w:tblPr>
      <w:tblGrid>
        <w:gridCol w:w="553"/>
        <w:gridCol w:w="487"/>
        <w:gridCol w:w="489"/>
        <w:gridCol w:w="829"/>
        <w:gridCol w:w="1832"/>
        <w:gridCol w:w="428"/>
        <w:gridCol w:w="109"/>
        <w:gridCol w:w="109"/>
        <w:gridCol w:w="109"/>
        <w:gridCol w:w="622"/>
        <w:gridCol w:w="1818"/>
        <w:gridCol w:w="454"/>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8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1,675 </w:t>
            </w:r>
          </w:p>
        </w:tc>
        <w:tc>
          <w:tcPr>
            <w:tcW w:w="4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8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material pro forma adjustments primarily consist of incremental amortization expense based on the preliminary fair value of the intangible assets acquired, increased compensation expense relating to the issuance of certain equity plans in connection with the acquisitions, accounting policy alignment adjustments, and the income tax impact of the aforementioned pro forma adjustments. The impact of the Matterport Acquisition on the Company's revenue was $44 million and $60 million for the three and six months ended June 30, 2025, respectively. The impact of the Matterport Acquisition on the Company's net income (loss) in the condensed consolidated statements of operations was a loss of $38 million and $51 million for the three and six months ended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5.    INVESTMENTS AND FAIR VALUE MEASUREMENTS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categorizes assets and liabilities recorded or disclosed at fair value on the condensed consolidated balance sheets based upon the level of judgment associated with inputs used to measure their fair value. The categories are as follows: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 xml:space="preserve">Level 1 </w:t>
      </w:r>
      <w:r>
        <w:rPr>
          <w:rFonts w:ascii="Times New Roman;serif" w:hAnsi="Times New Roman;serif"/>
          <w:b w:val="false"/>
          <w:color w:val="000000"/>
          <w:sz w:val="20"/>
        </w:rPr>
        <w:t>- Observable inputs such as quoted prices in active markets for identical assets or liabilities.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 xml:space="preserve">Level 2 </w:t>
      </w:r>
      <w:r>
        <w:rPr>
          <w:rFonts w:ascii="Times New Roman;serif" w:hAnsi="Times New Roman;serif"/>
          <w:b w:val="false"/>
          <w:color w:val="000000"/>
          <w:sz w:val="20"/>
        </w:rPr>
        <w:t>- Inputs other than quoted prices in active markets that are either directly or indirectly observable.</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 xml:space="preserve">Level 3 </w:t>
      </w:r>
      <w:r>
        <w:rPr>
          <w:rFonts w:ascii="Times New Roman;serif" w:hAnsi="Times New Roman;serif"/>
          <w:b w:val="false"/>
          <w:color w:val="000000"/>
          <w:sz w:val="20"/>
        </w:rPr>
        <w:t>- Unobservable inputs for which little or no market data exists, therefore requiring an entity to develop its own assumptions.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financial assets comprised Level 1 cash equivalents with original maturities of three months or less in the amount of $1.1 billion and $1.4 billion as of June 30, 2026 and December 31, 2025, respectively. As of June 30, 2026 and December 31, 2025, the Company had no Level 2 or Level 3 financial assets measured at fair value.</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Available-for-Sale Debt Securities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Matterport Acquisition, the Company acquired $204 million of available-for-sale debt securities, inclusive of $2 million of accrued interest. These securities were sold for net proceeds of $203 million, resulting in a negligible realized loss in the three months ended June 30, 2025.</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Other Financial Instruments</w:t>
      </w:r>
    </w:p>
    <w:p>
      <w:pPr>
        <w:pStyle w:val="TextBody"/>
        <w:bidi w:val="0"/>
        <w:spacing w:lineRule="auto" w:line="288" w:before="0" w:after="200"/>
        <w:ind w:left="0" w:right="0" w:firstLine="360"/>
        <w:jc w:val="both"/>
        <w:rPr/>
      </w:pPr>
      <w:r>
        <w:rPr>
          <w:rFonts w:ascii="Times New Roman;serif" w:hAnsi="Times New Roman;serif"/>
          <w:b w:val="false"/>
          <w:color w:val="000000"/>
          <w:sz w:val="20"/>
        </w:rPr>
        <w:t>The Company holds other financial instruments, including cash deposits, accounts receivable, accounts payable, accrued expenses, and Senior Notes. The carrying value for such financial instruments, other than the Senior Notes, each approximated their fair values as of both June 30, 2026 and December 31, 2025. The estimated fair val</w:t>
      </w:r>
      <w:r>
        <w:rPr>
          <w:rFonts w:ascii="Times New Roman;serif" w:hAnsi="Times New Roman;serif"/>
          <w:b w:val="false"/>
          <w:color w:val="000000"/>
          <w:sz w:val="20"/>
          <w:shd w:fill="FFFFFF" w:val="clear"/>
        </w:rPr>
        <w:t>ue</w:t>
      </w:r>
      <w:r>
        <w:rPr>
          <w:color w:val="000000"/>
        </w:rPr>
        <w:t xml:space="preserve"> </w:t>
      </w:r>
      <w:r>
        <w:rPr>
          <w:rFonts w:ascii="Times New Roman;serif" w:hAnsi="Times New Roman;serif"/>
          <w:b w:val="false"/>
          <w:color w:val="000000"/>
          <w:sz w:val="20"/>
        </w:rPr>
        <w:t>of the Company's outstanding Senior Notes using quoted prices from the over-the-counter markets, which are considered Level 2 inputs, was $900 million</w:t>
      </w:r>
      <w:r>
        <w:rPr>
          <w:color w:val="000000"/>
          <w:shd w:fill="FFFFFF" w:val="clear"/>
        </w:rPr>
        <w:t xml:space="preserve"> </w:t>
      </w:r>
      <w:r>
        <w:rPr>
          <w:rFonts w:ascii="Times New Roman;serif" w:hAnsi="Times New Roman;serif"/>
          <w:b w:val="false"/>
          <w:color w:val="000000"/>
          <w:sz w:val="20"/>
          <w:shd w:fill="FFFFFF" w:val="clear"/>
        </w:rPr>
        <w:t>as of both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6.    LEASES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operating and finance leases for its office facilities, data centers, and certain vehicles. The Company's leases have remaining terms up to eight years. The leases contain various renewal and termination options. The period that is subject to an option to extend the lease is included in the lease term if it is reasonably certain that the option will be exercised.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period that is subject to an option to terminate the lease is included if it is reasonably certain that the option will not be exercised.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Lease costs related to the Company's operating and finance leases included in the condensed consolidated statements of operations were as follows (in millions):</w:t>
      </w:r>
    </w:p>
    <w:tbl>
      <w:tblPr>
        <w:tblW w:w="9108" w:type="dxa"/>
        <w:jc w:val="left"/>
        <w:tblInd w:w="0" w:type="dxa"/>
        <w:tblLayout w:type="fixed"/>
        <w:tblCellMar>
          <w:top w:w="28" w:type="dxa"/>
          <w:left w:w="28" w:type="dxa"/>
          <w:bottom w:w="28" w:type="dxa"/>
          <w:right w:w="28" w:type="dxa"/>
        </w:tblCellMar>
      </w:tblPr>
      <w:tblGrid>
        <w:gridCol w:w="1873"/>
        <w:gridCol w:w="1645"/>
        <w:gridCol w:w="1656"/>
        <w:gridCol w:w="234"/>
        <w:gridCol w:w="400"/>
        <w:gridCol w:w="121"/>
        <w:gridCol w:w="121"/>
        <w:gridCol w:w="121"/>
        <w:gridCol w:w="121"/>
        <w:gridCol w:w="234"/>
        <w:gridCol w:w="400"/>
        <w:gridCol w:w="121"/>
        <w:gridCol w:w="109"/>
        <w:gridCol w:w="109"/>
        <w:gridCol w:w="109"/>
        <w:gridCol w:w="211"/>
        <w:gridCol w:w="361"/>
        <w:gridCol w:w="109"/>
        <w:gridCol w:w="109"/>
        <w:gridCol w:w="109"/>
        <w:gridCol w:w="109"/>
        <w:gridCol w:w="211"/>
        <w:gridCol w:w="361"/>
        <w:gridCol w:w="154"/>
      </w:tblGrid>
      <w:tr>
        <w:trPr/>
        <w:tc>
          <w:tcPr>
            <w:tcW w:w="1873"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174"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costs:</w:t>
            </w:r>
          </w:p>
        </w:tc>
        <w:tc>
          <w:tcPr>
            <w:tcW w:w="7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17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(excluding customer base amortization)</w:t>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development</w:t>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costs</w:t>
            </w:r>
          </w:p>
        </w:tc>
        <w:tc>
          <w:tcPr>
            <w:tcW w:w="6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costs:</w:t>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ROU assets</w:t>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finance lease costs</w:t>
            </w:r>
          </w:p>
        </w:tc>
        <w:tc>
          <w:tcPr>
            <w:tcW w:w="6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lease costs</w:t>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Finance lease costs primarily relate to vehicles used by the Company's research teams, and the amortization of the ROU assets is recorded to cost of revenue in the condensed consolidated statements of operations. For the three and six months ended June 30, 2026 and 2025, the impact of lease costs related to short-term leases was not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operating leases was as follows (in millions):</w:t>
      </w:r>
    </w:p>
    <w:tbl>
      <w:tblPr>
        <w:tblW w:w="9955" w:type="dxa"/>
        <w:jc w:val="left"/>
        <w:tblInd w:w="0" w:type="dxa"/>
        <w:tblLayout w:type="fixed"/>
        <w:tblCellMar>
          <w:top w:w="28" w:type="dxa"/>
          <w:left w:w="28" w:type="dxa"/>
          <w:bottom w:w="28" w:type="dxa"/>
          <w:right w:w="28" w:type="dxa"/>
        </w:tblCellMar>
      </w:tblPr>
      <w:tblGrid>
        <w:gridCol w:w="1450"/>
        <w:gridCol w:w="1272"/>
        <w:gridCol w:w="1283"/>
        <w:gridCol w:w="1014"/>
        <w:gridCol w:w="1014"/>
        <w:gridCol w:w="1017"/>
        <w:gridCol w:w="289"/>
        <w:gridCol w:w="149"/>
        <w:gridCol w:w="371"/>
        <w:gridCol w:w="109"/>
        <w:gridCol w:w="109"/>
        <w:gridCol w:w="109"/>
        <w:gridCol w:w="586"/>
        <w:gridCol w:w="302"/>
        <w:gridCol w:w="881"/>
      </w:tblGrid>
      <w:tr>
        <w:trPr/>
        <w:tc>
          <w:tcPr>
            <w:tcW w:w="1450"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w:t>
            </w:r>
          </w:p>
        </w:tc>
        <w:tc>
          <w:tcPr>
            <w:tcW w:w="3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Sheet Location</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lease liabilities</w:t>
            </w:r>
          </w:p>
        </w:tc>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and other long-term liabilities</w:t>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8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ROU assets</w:t>
            </w:r>
          </w:p>
        </w:tc>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right-of-use assets</w:t>
            </w:r>
          </w:p>
        </w:tc>
        <w:tc>
          <w:tcPr>
            <w:tcW w:w="2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40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lease liabilities</w:t>
            </w:r>
          </w:p>
        </w:tc>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and other long-term liabilities</w:t>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8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ROU assets</w:t>
            </w:r>
          </w:p>
        </w:tc>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r>
    </w:tbl>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was as follows (in millions):</w:t>
      </w:r>
    </w:p>
    <w:tbl>
      <w:tblPr>
        <w:tblW w:w="7688" w:type="dxa"/>
        <w:jc w:val="left"/>
        <w:tblInd w:w="0" w:type="dxa"/>
        <w:tblLayout w:type="fixed"/>
        <w:tblCellMar>
          <w:top w:w="28" w:type="dxa"/>
          <w:left w:w="28" w:type="dxa"/>
          <w:bottom w:w="28" w:type="dxa"/>
          <w:right w:w="28" w:type="dxa"/>
        </w:tblCellMar>
      </w:tblPr>
      <w:tblGrid>
        <w:gridCol w:w="2126"/>
        <w:gridCol w:w="1864"/>
        <w:gridCol w:w="1874"/>
        <w:gridCol w:w="211"/>
        <w:gridCol w:w="406"/>
        <w:gridCol w:w="109"/>
        <w:gridCol w:w="109"/>
        <w:gridCol w:w="109"/>
        <w:gridCol w:w="109"/>
        <w:gridCol w:w="211"/>
        <w:gridCol w:w="406"/>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used in operating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used in finance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used in finance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ROU assets obtained in exchange for new lease obligations: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7.    GOODWILL</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by operating segment consist of the following (in millions):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200"/>
        <w:ind w:left="0" w:right="0" w:firstLine="360"/>
        <w:jc w:val="center"/>
        <w:rPr/>
      </w:pPr>
      <w:r>
        <w:rPr/>
      </w:r>
    </w:p>
    <w:p>
      <w:pPr>
        <w:pStyle w:val="TextBody"/>
        <w:bidi w:val="0"/>
        <w:spacing w:lineRule="auto" w:line="288" w:before="0" w:after="200"/>
        <w:ind w:left="0" w:right="0" w:firstLine="36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200"/>
        <w:ind w:left="0" w:right="0" w:firstLine="36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200"/>
        <w:ind w:left="0" w:right="0" w:firstLine="360"/>
        <w:jc w:val="center"/>
        <w:rPr/>
      </w:pPr>
      <w:r>
        <w:rPr/>
      </w:r>
    </w:p>
    <w:p>
      <w:pPr>
        <w:pStyle w:val="TextBody"/>
        <w:bidi w:val="0"/>
        <w:spacing w:before="0" w:after="200"/>
        <w:ind w:left="0" w:right="0" w:firstLine="360"/>
        <w:jc w:val="both"/>
        <w:rPr/>
      </w:pPr>
      <w:r>
        <w:rPr/>
      </w:r>
    </w:p>
    <w:p>
      <w:pPr>
        <w:pStyle w:val="TextBody"/>
        <w:bidi w:val="0"/>
        <w:spacing w:before="0" w:after="20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1636"/>
        <w:gridCol w:w="1420"/>
        <w:gridCol w:w="1429"/>
        <w:gridCol w:w="471"/>
        <w:gridCol w:w="1382"/>
        <w:gridCol w:w="247"/>
        <w:gridCol w:w="109"/>
        <w:gridCol w:w="109"/>
        <w:gridCol w:w="109"/>
        <w:gridCol w:w="444"/>
        <w:gridCol w:w="1303"/>
        <w:gridCol w:w="233"/>
        <w:gridCol w:w="109"/>
        <w:gridCol w:w="109"/>
        <w:gridCol w:w="109"/>
        <w:gridCol w:w="211"/>
        <w:gridCol w:w="616"/>
        <w:gridCol w:w="159"/>
      </w:tblGrid>
      <w:tr>
        <w:trPr/>
        <w:tc>
          <w:tcPr>
            <w:tcW w:w="1636"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Commercial 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Residential 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Goodwill, December 31, 2025</w:t>
            </w:r>
          </w:p>
        </w:tc>
        <w:tc>
          <w:tcPr>
            <w:tcW w:w="4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1,955 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2,989 </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4,944 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including measurement period adjustments</w:t>
            </w:r>
          </w:p>
        </w:tc>
        <w:tc>
          <w:tcPr>
            <w:tcW w:w="1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translation</w:t>
            </w:r>
          </w:p>
        </w:tc>
        <w:tc>
          <w:tcPr>
            <w:tcW w:w="1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Goodwill, June 30, 2026</w:t>
            </w:r>
          </w:p>
        </w:tc>
        <w:tc>
          <w:tcPr>
            <w:tcW w:w="4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3,021 </w:t>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4,981 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the Company did not recognize any impairment losses on goodwill.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8.    INTANGIBLE ASSETS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Intangible assets consist of the following (in millions, except amortization period data):</w:t>
      </w:r>
    </w:p>
    <w:tbl>
      <w:tblPr>
        <w:tblW w:w="8834" w:type="dxa"/>
        <w:jc w:val="left"/>
        <w:tblInd w:w="0" w:type="dxa"/>
        <w:tblLayout w:type="fixed"/>
        <w:tblCellMar>
          <w:top w:w="28" w:type="dxa"/>
          <w:left w:w="28" w:type="dxa"/>
          <w:bottom w:w="28" w:type="dxa"/>
          <w:right w:w="28" w:type="dxa"/>
        </w:tblCellMar>
      </w:tblPr>
      <w:tblGrid>
        <w:gridCol w:w="1604"/>
        <w:gridCol w:w="1406"/>
        <w:gridCol w:w="1414"/>
        <w:gridCol w:w="211"/>
        <w:gridCol w:w="616"/>
        <w:gridCol w:w="109"/>
        <w:gridCol w:w="109"/>
        <w:gridCol w:w="109"/>
        <w:gridCol w:w="109"/>
        <w:gridCol w:w="283"/>
        <w:gridCol w:w="829"/>
        <w:gridCol w:w="148"/>
        <w:gridCol w:w="109"/>
        <w:gridCol w:w="109"/>
        <w:gridCol w:w="109"/>
        <w:gridCol w:w="457"/>
        <w:gridCol w:w="457"/>
        <w:gridCol w:w="646"/>
      </w:tblGrid>
      <w:tr>
        <w:trPr/>
        <w:tc>
          <w:tcPr>
            <w:tcW w:w="1604"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Amortization</w:t>
              <w:br/>
              <w:t>Period (in years)</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technology and data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technology and data, net</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customer base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customer base, net</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trade names and other intangible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trade names and other intangible assets, net</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above-market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above-market leases, net</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in-place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in-place leases, net</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1,771 </w:t>
            </w:r>
          </w:p>
        </w:tc>
        <w:tc>
          <w:tcPr>
            <w:tcW w:w="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Intangible assets are reviewed for impairment whenever events or changes in circumstances indicate that the carrying value of such assets may not be recoverable. For the six months ended June 30, 2026 and 2025, the Company did not recognize any impairment losses on intangible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200"/>
        <w:ind w:left="0" w:right="0" w:firstLine="36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(unaudited) </w:t>
      </w: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9.    LONG-TERM DEBT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components of outstanding debt (in millions):</w:t>
      </w:r>
    </w:p>
    <w:tbl>
      <w:tblPr>
        <w:tblW w:w="7870" w:type="dxa"/>
        <w:jc w:val="left"/>
        <w:tblInd w:w="0" w:type="dxa"/>
        <w:tblLayout w:type="fixed"/>
        <w:tblCellMar>
          <w:top w:w="28" w:type="dxa"/>
          <w:left w:w="28" w:type="dxa"/>
          <w:bottom w:w="28" w:type="dxa"/>
          <w:right w:w="28" w:type="dxa"/>
        </w:tblCellMar>
      </w:tblPr>
      <w:tblGrid>
        <w:gridCol w:w="1630"/>
        <w:gridCol w:w="1432"/>
        <w:gridCol w:w="1438"/>
        <w:gridCol w:w="287"/>
        <w:gridCol w:w="839"/>
        <w:gridCol w:w="148"/>
        <w:gridCol w:w="109"/>
        <w:gridCol w:w="109"/>
        <w:gridCol w:w="109"/>
        <w:gridCol w:w="380"/>
        <w:gridCol w:w="1110"/>
        <w:gridCol w:w="279"/>
      </w:tblGrid>
      <w:tr>
        <w:trPr/>
        <w:tc>
          <w:tcPr>
            <w:tcW w:w="1630"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2.800% Senior Notes due July 15, 2030</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unamortized discount and issuance costs</w:t>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2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Senior Notes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1, 2020, the Company issued $1.0 billion aggregate principal amount of 2.800% Senior Notes due July 15, 2030. The Senior Notes were sold to a group of financial institutions as initial purchasers who subsequently resold the Senior Notes to non-U.S. persons pursuant to Regulation S under the Securities Act, and to persons reasonably believed to be qualified institutional buyers pursuant to Rule 144A under the Securities Act at a purchase price equal to 99.921% of their principal amount. Interest on the Senior Notes is payable semi-annually in arrears on January 15 and July 15. The Senior Notes may be redeemed in whole or in part by the Company (a) at any time prior to April 15, 2030 at a redemption price equal to 100% of the principal amount of the Senior Notes, plus the Applicable Premium (as calculated in accordance with the indenture governing the Senior Notes), and any accrued and unpaid interest, if any, on the principal amount of Senior Notes being redeemed to, but excluding, the redemption date, and (b) on or after April 15, 2030 at a redemption price equal to 100% of the principal amount of the Senior Notes, plus any accrued and unpaid interest, if any, on the principal amount of Senior Notes being redeemed to, but excluding, the redemption date. The Company’s obligations under the Senior Notes are guaranteed on a senior, unsecured basis by the Company’s domestic wholly-owned subsidiaries, and the indenture governing the Senior Notes contains covenants, events of default, and other customary provisions with which the Company was in compliance as of June 30, 2026.</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Revolving Credit Facility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24, 2024, the Company entered into the 2024 Credit Agreement, which provides for a $1.1 billion revolving credit facility with a term of five years (maturing May 24, 2029) and a letter of credit sublimit of $20 million from a syndicate of financial institutions and issuing banks.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Borrowings bear interest at a floating rate, which can be, at the Company’s option, either (a) an alternate base rate plus an applicable rate ranging from 0.125% to 0.750% or (b) a Term SOFR, SONIA rate, or EURIBOR for the specified interest period plus an applicable rate ranging from 1.125% to 1.750%, in each case depending on the Company’s Debt Rating (as defined in the 2024 Credit Agreement).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2024 Credit Agreement contains customary affirmative covenants for transactions of this type, including, among others, the provision of financial and other information to the administrative agent, notice to the administrative agent upon the occurrence of certain material events, preservation of existence, maintenance of properties, and compliance with laws, including environmental laws, subject to certain exceptions. The 2024 Credit Agreement contains customary negative covenants, including, among others, restrictions on the ability of the Company and its subsidiaries to merge and consolidate with other companies, restrictions on the ability of certain subsidiaries to incur indebtedness, and restrictions on the ability of the Company and certain subsidiaries to grant liens or security interests on assets, subject to certain exceptions. The 2024 Credit Agreement contains a financial maintenance covenant that requires the Company to maintain a Total Leverage Ratio (as defined in the 2024 Credit Agreement) of less than or equal to 4.50 to 1.00, tested at the end of each fiscal quarter. The 2024 Credit Agreement also provides for a number of customary events of default, including, among others: payment defaults to the lenders, voluntary and involuntary bankruptcy proceedings, covenant defaults, material inaccuracies of representations and warranties, cross-acceleration to other material indebtedness, certain change of control events, material money judgments, and other customary events of default. The occurrence of an event of default could result in the acceleration of obligations and the termination of lending commitments under the 2024 Credit Agreement. As of June 30, 2026, the Company was in compliance with the covenants in the 2024 Credit Agreement. As of June 30, 2026, the Company had no amounts drawn under this facility.</w:t>
      </w:r>
    </w:p>
    <w:p>
      <w:pPr>
        <w:pStyle w:val="TextBody"/>
        <w:bidi w:val="0"/>
        <w:spacing w:lineRule="auto" w:line="288" w:before="14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had $2 million and $3 million of deferred debt issuance costs related to the revolving credit facility as of June 30, 2026 and December 31, 2025, respectively. These amounts are included in deposits and other assets on the Company's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20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(unaudited) </w:t>
      </w:r>
    </w:p>
    <w:p>
      <w:pPr>
        <w:pStyle w:val="TextBody"/>
        <w:bidi w:val="0"/>
        <w:spacing w:lineRule="auto" w:line="276"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recognized interest expense as follows (in millions):</w:t>
      </w:r>
    </w:p>
    <w:tbl>
      <w:tblPr>
        <w:tblW w:w="8704" w:type="dxa"/>
        <w:jc w:val="left"/>
        <w:tblInd w:w="0" w:type="dxa"/>
        <w:tblLayout w:type="fixed"/>
        <w:tblCellMar>
          <w:top w:w="28" w:type="dxa"/>
          <w:left w:w="28" w:type="dxa"/>
          <w:bottom w:w="28" w:type="dxa"/>
          <w:right w:w="28" w:type="dxa"/>
        </w:tblCellMar>
      </w:tblPr>
      <w:tblGrid>
        <w:gridCol w:w="1728"/>
        <w:gridCol w:w="1519"/>
        <w:gridCol w:w="1523"/>
        <w:gridCol w:w="249"/>
        <w:gridCol w:w="427"/>
        <w:gridCol w:w="129"/>
        <w:gridCol w:w="129"/>
        <w:gridCol w:w="129"/>
        <w:gridCol w:w="129"/>
        <w:gridCol w:w="249"/>
        <w:gridCol w:w="303"/>
        <w:gridCol w:w="129"/>
        <w:gridCol w:w="109"/>
        <w:gridCol w:w="109"/>
        <w:gridCol w:w="109"/>
        <w:gridCol w:w="211"/>
        <w:gridCol w:w="361"/>
        <w:gridCol w:w="109"/>
        <w:gridCol w:w="109"/>
        <w:gridCol w:w="109"/>
        <w:gridCol w:w="109"/>
        <w:gridCol w:w="211"/>
        <w:gridCol w:w="361"/>
        <w:gridCol w:w="154"/>
      </w:tblGrid>
      <w:tr>
        <w:trPr/>
        <w:tc>
          <w:tcPr>
            <w:tcW w:w="1728"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outstanding borrowings</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Senior Notes discount and issuance costs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capitalized for construction in process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 fees and other</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income tax provision reflects an effective tax rate of approximately 26% and 73% for the three months ended June 30, 2026 and 2025, respectively, and 33% and 160% for the six months ended June 30, 2026 and 2025, respectively. The decreases in the effective tax rate for the three and six months ended June 30, 2026 were primarily due to losses in the U.K. in 2025 subject to a full valuation allowance.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11.    COMMITMENTS AND CONTINGENCIES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summarizes the Company's significant contractual obligations, including related payments due by period, as of June 30, 2026 (in millions):</w:t>
      </w:r>
    </w:p>
    <w:tbl>
      <w:tblPr>
        <w:tblW w:w="10205" w:type="dxa"/>
        <w:jc w:val="left"/>
        <w:tblInd w:w="0" w:type="dxa"/>
        <w:tblLayout w:type="fixed"/>
        <w:tblCellMar>
          <w:top w:w="28" w:type="dxa"/>
          <w:left w:w="28" w:type="dxa"/>
          <w:bottom w:w="28" w:type="dxa"/>
          <w:right w:w="28" w:type="dxa"/>
        </w:tblCellMar>
      </w:tblPr>
      <w:tblGrid>
        <w:gridCol w:w="628"/>
        <w:gridCol w:w="540"/>
        <w:gridCol w:w="541"/>
        <w:gridCol w:w="468"/>
        <w:gridCol w:w="1036"/>
        <w:gridCol w:w="242"/>
        <w:gridCol w:w="109"/>
        <w:gridCol w:w="109"/>
        <w:gridCol w:w="109"/>
        <w:gridCol w:w="604"/>
        <w:gridCol w:w="732"/>
        <w:gridCol w:w="312"/>
        <w:gridCol w:w="109"/>
        <w:gridCol w:w="109"/>
        <w:gridCol w:w="109"/>
        <w:gridCol w:w="466"/>
        <w:gridCol w:w="1363"/>
        <w:gridCol w:w="243"/>
        <w:gridCol w:w="109"/>
        <w:gridCol w:w="109"/>
        <w:gridCol w:w="109"/>
        <w:gridCol w:w="517"/>
        <w:gridCol w:w="1144"/>
        <w:gridCol w:w="388"/>
      </w:tblGrid>
      <w:tr>
        <w:trPr/>
        <w:tc>
          <w:tcPr>
            <w:tcW w:w="62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Year Ending December 31,</w:t>
            </w:r>
          </w:p>
        </w:tc>
        <w:tc>
          <w:tcPr>
            <w:tcW w:w="17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Operating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Long-term debt principal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Long-term debt interest payments</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4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3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leases office facilities under various non-cancelable operating leases, as well as data centers and vehicles under finance lease arrangements. The leases contain various renewal options.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6 for further discussion of the Company's lease commitments.</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Litigation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Currently, and from time to time, the Company is involved in litigation incidental to the conduct of its business. The Company monitors developments in these legal matters and records a provision for probable losses at management's best estimate of a loss, or when a best estimate cannot be made, a minimum loss contingency amount within a probable range is recorded. While it is reasonably possible that an unfavorable outcome may occur as a result of one or more of the Company’s current legal matters, at this time, management has concluded that the resolutions of these matters are not expected to have a material effect on the Company's condensed consolidated financial position, future results of operations, or liquidity. Legal defense costs are expensed as incurred.</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Matterport-Related Matters</w:t>
      </w:r>
    </w:p>
    <w:p>
      <w:pPr>
        <w:pStyle w:val="TextBody"/>
        <w:bidi w:val="0"/>
        <w:spacing w:lineRule="auto" w:line="288" w:before="12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July 23, 2021, plaintiff William J. Brown, a former employee and a stockholder of Matterport, sued the Brown Defendants in the Chancery Court. Brown claimed that the Brown Defendants imposed invalid Transfer Restrictions on his shares of Matterport stock, and that Matterport’s board of directors violated their fiduciary duties in connection with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20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(unaudited) </w:t>
      </w:r>
    </w:p>
    <w:p>
      <w:pPr>
        <w:pStyle w:val="TextBody"/>
        <w:bidi w:val="0"/>
        <w:spacing w:lineRule="auto" w:line="288" w:before="120" w:after="200"/>
        <w:jc w:val="both"/>
        <w:rPr>
          <w:rFonts w:ascii="Times New Roman;serif" w:hAnsi="Times New Roman;serif"/>
          <w:b w:val="false"/>
          <w:color w:val="000000"/>
          <w:sz w:val="20"/>
        </w:rPr>
      </w:pPr>
      <w:r>
        <w:rPr>
          <w:rFonts w:ascii="Times New Roman;serif" w:hAnsi="Times New Roman;serif"/>
          <w:b w:val="false"/>
          <w:color w:val="000000"/>
          <w:sz w:val="20"/>
        </w:rPr>
        <w:t>purportedly misleading letter of transmittal. On January 11, 2022, the court issued a ruling that the Transfer Restrictions did not apply to Brown. On May 28, 2024, the court awarded Brown $79 million due to the invalid Transfer Restrictions plus pre- and post-judgment interest. On April 22, 2025, the Delaware Supreme Court substantially affirmed the Chancery Court’s damages award but reversed and remanded for additional proceedings on the manner in which post-judgment interest was calculated. On remand, the Chancery Court determined that post</w:t>
        <w:noBreakHyphen/>
        <w:t>judgment interest will accrue at a variable rate until the judgment is paid in full. During the three months ended June 30, 2026, the Company paid a total of $109 million for the Brown Judgment. The Company recognized $9 million of additional interest expense related to the matter, which was recorded within interest income (expense), net in the condensed consolidated statements of operations. In addition, the Company realized net recoveries related to this matter of $17 million in the second quarter of 2026, which were recorded as a reduction to general and administrative expenses in the condensed consolidated statements of operations.</w:t>
      </w:r>
    </w:p>
    <w:p>
      <w:pPr>
        <w:pStyle w:val="TextBody"/>
        <w:bidi w:val="0"/>
        <w:spacing w:lineRule="auto" w:line="288" w:before="12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Since the Brown Judgment in May 2024, several lawsuits have been filed alleging similar claims: on July 19, 2024 by Damien Leostic and William Schmitt; on August 16, 2024 by Greg Coombe; on September 19, 2024 by Build Legacy LLC, Build the Future Trust under agreement dated November 16, 2023, Penchant Capital LLC, Penchant Trust, and iRobot Corporation. On September 16, 2024, Kimberly Burdi-Dumas, a former Matterport employee, filed a putative class action complaint on behalf of all persons or entities who were stockholders of Matterport as of July 21, 2021, and who, pursuant to the Gores Transaction, were thereafter issued and held Matterport shares that were improperly restricted from being sold until January 18, 2022. On November 26, 2024, Schmitt amended his complaint to bring a class action on behalf of former members of Matterport who did not receive their shares immediately following the closing of the Gores Transaction. On December 6, 2024, the Burdi-Dumas complaint was amended to include a second plaintiff, Janet Day, and additional claims. These cases have now been consolidated and coordinated into a single action, with discovery and briefing on the proposed class action. </w:t>
      </w:r>
    </w:p>
    <w:p>
      <w:pPr>
        <w:pStyle w:val="TextBody"/>
        <w:bidi w:val="0"/>
        <w:spacing w:lineRule="auto" w:line="288" w:before="12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there were no amounts accrued for these matters. Further, the range of reasonably possible losses cannot be reasonably estimated.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12.    SEGMENT REPORTING</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Segment Information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manages its business by product portfolios in two operating segments and two reportable segments, with the primary areas of measurement and decision-making being Commercial Real Estate and Residential Real Estate. Segment reporting is aligned with the internal reporting used by the CODM, which is the Company’s Chief Executive Officer. The CODM relies on a management reporting process that provides operating segment revenue, EBITDA, and Adjusted EBITDA for making decisions and assessing performance as the source of the Company’s reportable segments. EBITDA and Adjusted EBITDA are used by management internally to measure operating and management performance and to evaluate the business. The CODM does not review any information regarding total assets by operating segment.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Operating results by segment include items that are directly attributable to each segment and shared expenses such as IT; corporate infrastructure, including facilities; finance; and legal expenses. Shared expenses are allocated based on revenue and headcount. There are no intersegment transactions. The impact of certain items that are not normal, recurring, and cash operating expenses necessary to run the operating segment are removed to determine Adjusted EBITDA and include stock-based compensation, acquisition and integration costs, restructuring and related costs, and settlements and impairments.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recast certain prior period disclosures to align with its reportable segments. See Note 2 for additional information.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Summarized EBITDA and Adjusted EBITDA information by operating segment consists of the following (in millions):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200"/>
        <w:ind w:left="0" w:right="0" w:firstLine="36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205" w:type="dxa"/>
        <w:jc w:val="left"/>
        <w:tblInd w:w="0" w:type="dxa"/>
        <w:tblLayout w:type="fixed"/>
        <w:tblCellMar>
          <w:top w:w="28" w:type="dxa"/>
          <w:left w:w="28" w:type="dxa"/>
          <w:bottom w:w="28" w:type="dxa"/>
          <w:right w:w="28" w:type="dxa"/>
        </w:tblCellMar>
      </w:tblPr>
      <w:tblGrid>
        <w:gridCol w:w="670"/>
        <w:gridCol w:w="586"/>
        <w:gridCol w:w="533"/>
        <w:gridCol w:w="365"/>
        <w:gridCol w:w="786"/>
        <w:gridCol w:w="205"/>
        <w:gridCol w:w="109"/>
        <w:gridCol w:w="109"/>
        <w:gridCol w:w="109"/>
        <w:gridCol w:w="345"/>
        <w:gridCol w:w="743"/>
        <w:gridCol w:w="193"/>
        <w:gridCol w:w="109"/>
        <w:gridCol w:w="109"/>
        <w:gridCol w:w="109"/>
        <w:gridCol w:w="196"/>
        <w:gridCol w:w="421"/>
        <w:gridCol w:w="109"/>
        <w:gridCol w:w="109"/>
        <w:gridCol w:w="109"/>
        <w:gridCol w:w="109"/>
        <w:gridCol w:w="365"/>
        <w:gridCol w:w="786"/>
        <w:gridCol w:w="205"/>
        <w:gridCol w:w="109"/>
        <w:gridCol w:w="109"/>
        <w:gridCol w:w="109"/>
        <w:gridCol w:w="345"/>
        <w:gridCol w:w="743"/>
        <w:gridCol w:w="193"/>
        <w:gridCol w:w="109"/>
        <w:gridCol w:w="109"/>
        <w:gridCol w:w="109"/>
        <w:gridCol w:w="196"/>
        <w:gridCol w:w="421"/>
        <w:gridCol w:w="164"/>
      </w:tblGrid>
      <w:tr>
        <w:trPr/>
        <w:tc>
          <w:tcPr>
            <w:tcW w:w="670"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178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01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Commercial Real Estate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Residential Real Estate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Commercial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Residential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7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Revenue</w:t>
            </w:r>
            <w:r>
              <w:rPr>
                <w:rFonts w:ascii="Times New Roman;serif" w:hAnsi="Times New Roman;serif"/>
                <w:b w:val="false"/>
                <w:color w:val="000000"/>
                <w:sz w:val="12"/>
              </w:rPr>
              <w:t>(1)</w:t>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781 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Personnel</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General and administrative</w:t>
            </w:r>
            <w:r>
              <w:rPr>
                <w:rFonts w:ascii="Times New Roman;serif" w:hAnsi="Times New Roman;serif"/>
                <w:b w:val="false"/>
                <w:color w:val="000000"/>
                <w:sz w:val="12"/>
              </w:rPr>
              <w:t>(2)</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3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Stock-based compensation expense</w:t>
            </w:r>
            <w:r>
              <w:rPr>
                <w:rFonts w:ascii="Times New Roman;serif" w:hAnsi="Times New Roman;serif"/>
                <w:b w:val="false"/>
                <w:color w:val="000000"/>
                <w:sz w:val="12"/>
              </w:rPr>
              <w:t>(3)</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and integration related costs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related costs</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Settlements and impairments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__________________________</w:t>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See Note 3 for details of revenue disaggregated by segment.</w:t>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Excludes personnel costs.</w:t>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Represents a significant non-cash item included in the personnel costs above</w:t>
            </w:r>
          </w:p>
        </w:tc>
      </w:tr>
    </w:tbl>
    <w:tbl>
      <w:tblPr>
        <w:tblW w:w="10205" w:type="dxa"/>
        <w:jc w:val="left"/>
        <w:tblInd w:w="0" w:type="dxa"/>
        <w:tblLayout w:type="fixed"/>
        <w:tblCellMar>
          <w:top w:w="28" w:type="dxa"/>
          <w:left w:w="28" w:type="dxa"/>
          <w:bottom w:w="28" w:type="dxa"/>
          <w:right w:w="28" w:type="dxa"/>
        </w:tblCellMar>
      </w:tblPr>
      <w:tblGrid>
        <w:gridCol w:w="637"/>
        <w:gridCol w:w="557"/>
        <w:gridCol w:w="506"/>
        <w:gridCol w:w="353"/>
        <w:gridCol w:w="760"/>
        <w:gridCol w:w="198"/>
        <w:gridCol w:w="109"/>
        <w:gridCol w:w="109"/>
        <w:gridCol w:w="109"/>
        <w:gridCol w:w="333"/>
        <w:gridCol w:w="717"/>
        <w:gridCol w:w="186"/>
        <w:gridCol w:w="109"/>
        <w:gridCol w:w="109"/>
        <w:gridCol w:w="109"/>
        <w:gridCol w:w="196"/>
        <w:gridCol w:w="556"/>
        <w:gridCol w:w="109"/>
        <w:gridCol w:w="109"/>
        <w:gridCol w:w="109"/>
        <w:gridCol w:w="109"/>
        <w:gridCol w:w="353"/>
        <w:gridCol w:w="760"/>
        <w:gridCol w:w="198"/>
        <w:gridCol w:w="109"/>
        <w:gridCol w:w="109"/>
        <w:gridCol w:w="109"/>
        <w:gridCol w:w="327"/>
        <w:gridCol w:w="727"/>
        <w:gridCol w:w="182"/>
        <w:gridCol w:w="109"/>
        <w:gridCol w:w="109"/>
        <w:gridCol w:w="109"/>
        <w:gridCol w:w="196"/>
        <w:gridCol w:w="556"/>
        <w:gridCol w:w="163"/>
      </w:tblGrid>
      <w:tr>
        <w:trPr/>
        <w:tc>
          <w:tcPr>
            <w:tcW w:w="63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70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06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6"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Commercial Real Estate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Residential Real Estate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Commercial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Residential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Revenue</w:t>
            </w:r>
            <w:r>
              <w:rPr>
                <w:rFonts w:ascii="Times New Roman;serif" w:hAnsi="Times New Roman;serif"/>
                <w:b w:val="false"/>
                <w:color w:val="000000"/>
                <w:sz w:val="12"/>
              </w:rPr>
              <w:t>(1)</w:t>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953 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869 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855 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658 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1,513 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Personnel</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General and administrative</w:t>
            </w:r>
            <w:r>
              <w:rPr>
                <w:rFonts w:ascii="Times New Roman;serif" w:hAnsi="Times New Roman;serif"/>
                <w:b w:val="false"/>
                <w:color w:val="000000"/>
                <w:sz w:val="12"/>
              </w:rPr>
              <w:t>(2)</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3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Stock-based compensation expense</w:t>
            </w:r>
            <w:r>
              <w:rPr>
                <w:rFonts w:ascii="Times New Roman;serif" w:hAnsi="Times New Roman;serif"/>
                <w:b w:val="false"/>
                <w:color w:val="000000"/>
                <w:sz w:val="12"/>
              </w:rPr>
              <w:t>(3)</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and integration related costs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related costs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Settlements and impairments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w:t>
            </w:r>
          </w:p>
        </w:tc>
        <w:tc>
          <w:tcPr>
            <w:tcW w:w="1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__________________________</w:t>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See Note 3 for details of revenue disaggregated by segment.</w:t>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Excludes personnel costs.</w:t>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Represents a significant non-cash item included in the personnel costs above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reconciliation of Adjusted EBITDA and EBITDA to income before income taxes consists of the following (in millions):</w:t>
      </w:r>
    </w:p>
    <w:tbl>
      <w:tblPr>
        <w:tblW w:w="10205" w:type="dxa"/>
        <w:jc w:val="left"/>
        <w:tblInd w:w="0" w:type="dxa"/>
        <w:tblLayout w:type="fixed"/>
        <w:tblCellMar>
          <w:top w:w="28" w:type="dxa"/>
          <w:left w:w="28" w:type="dxa"/>
          <w:bottom w:w="28" w:type="dxa"/>
          <w:right w:w="28" w:type="dxa"/>
        </w:tblCellMar>
      </w:tblPr>
      <w:tblGrid>
        <w:gridCol w:w="1726"/>
        <w:gridCol w:w="1441"/>
        <w:gridCol w:w="1357"/>
        <w:gridCol w:w="298"/>
        <w:gridCol w:w="659"/>
        <w:gridCol w:w="153"/>
        <w:gridCol w:w="153"/>
        <w:gridCol w:w="153"/>
        <w:gridCol w:w="153"/>
        <w:gridCol w:w="298"/>
        <w:gridCol w:w="510"/>
        <w:gridCol w:w="153"/>
        <w:gridCol w:w="150"/>
        <w:gridCol w:w="150"/>
        <w:gridCol w:w="150"/>
        <w:gridCol w:w="292"/>
        <w:gridCol w:w="645"/>
        <w:gridCol w:w="150"/>
        <w:gridCol w:w="150"/>
        <w:gridCol w:w="150"/>
        <w:gridCol w:w="150"/>
        <w:gridCol w:w="292"/>
        <w:gridCol w:w="645"/>
        <w:gridCol w:w="227"/>
      </w:tblGrid>
      <w:tr>
        <w:trPr/>
        <w:tc>
          <w:tcPr>
            <w:tcW w:w="172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4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52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integration related costs</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related costs</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and impairments</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2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 in cost of revenue</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 in operating expenses</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other amortization</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income (expense), net</w:t>
            </w:r>
            <w:r>
              <w:rPr>
                <w:rFonts w:ascii="Times New Roman;serif" w:hAnsi="Times New Roman;serif"/>
                <w:b w:val="false"/>
                <w:color w:val="000000"/>
                <w:sz w:val="13"/>
              </w:rPr>
              <w:t>(1)</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__________________________</w:t>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Includes $3 million and $9 million of depreciation and amortization expense including above-market lease amortization associated with lessor activities for the three months ended June 30, 2026 and 2025, respectively, and $8 million and $14 million for the six months ended June 30, 2026 and 2025, respectively.</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13.    STOCKHOLDERS' EQUITY</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Prior Stock Repurchase Program</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2025, the Board of Directors approved the Prior Stock Repurchase Program that authorized the repurchase of up to $500 million of CoStar Group Shares. </w:t>
      </w:r>
    </w:p>
    <w:p>
      <w:pPr>
        <w:pStyle w:val="TextBody"/>
        <w:bidi w:val="0"/>
        <w:spacing w:lineRule="auto" w:line="288" w:before="200" w:after="200"/>
        <w:ind w:left="0" w:right="0" w:firstLine="360"/>
        <w:jc w:val="both"/>
        <w:rPr/>
      </w:pPr>
      <w:r>
        <w:rPr>
          <w:rFonts w:ascii="Times New Roman;serif" w:hAnsi="Times New Roman;serif"/>
          <w:b w:val="false"/>
          <w:color w:val="000000"/>
          <w:sz w:val="20"/>
        </w:rPr>
        <w:t xml:space="preserve">During the six months ended June 30, 2025, the Company repurchased </w:t>
      </w:r>
      <w:r>
        <w:rPr>
          <w:rFonts w:ascii="Times New Roman;serif" w:hAnsi="Times New Roman;serif"/>
          <w:b w:val="false"/>
          <w:color w:val="000000"/>
          <w:sz w:val="20"/>
          <w:shd w:fill="FFFFFF" w:val="clear"/>
        </w:rPr>
        <w:t>0.8 million</w:t>
      </w:r>
      <w:r>
        <w:rPr>
          <w:color w:val="000000"/>
        </w:rPr>
        <w:t xml:space="preserve"> </w:t>
      </w:r>
      <w:r>
        <w:rPr>
          <w:rFonts w:ascii="Times New Roman;serif" w:hAnsi="Times New Roman;serif"/>
          <w:b w:val="false"/>
          <w:color w:val="000000"/>
          <w:sz w:val="20"/>
        </w:rPr>
        <w:t>CoStar Group Shares for an aggregate cost of $64 million.</w:t>
      </w:r>
      <w:r>
        <w:rPr>
          <w:color w:val="000000"/>
          <w:shd w:fill="FFFFFF" w:val="clear"/>
        </w:rPr>
        <w:t xml:space="preserve"> </w:t>
      </w:r>
      <w:r>
        <w:rPr>
          <w:rFonts w:ascii="Times New Roman;serif" w:hAnsi="Times New Roman;serif"/>
          <w:b w:val="false"/>
          <w:color w:val="000000"/>
          <w:sz w:val="20"/>
          <w:shd w:fill="FFFFFF" w:val="clear"/>
        </w:rPr>
        <w:t xml:space="preserve">Subsequently, the Company completed the </w:t>
      </w:r>
      <w:r>
        <w:rPr>
          <w:rFonts w:ascii="Times New Roman;serif" w:hAnsi="Times New Roman;serif"/>
          <w:b w:val="false"/>
          <w:color w:val="000000"/>
          <w:sz w:val="20"/>
        </w:rPr>
        <w:t>Prior Stock Repurchase Program</w:t>
      </w:r>
      <w:r>
        <w:rPr>
          <w:rFonts w:ascii="Times New Roman;serif" w:hAnsi="Times New Roman;serif"/>
          <w:b w:val="false"/>
          <w:color w:val="000000"/>
          <w:sz w:val="20"/>
          <w:shd w:fill="FFFFFF" w:val="clear"/>
        </w:rPr>
        <w:t xml:space="preserve">, including the use of an accelerated share repurchase agreement entered into in November 2025. In total, the Company repurchased 7.1 million shares for an aggregate cost of </w:t>
      </w:r>
      <w:r>
        <w:rPr>
          <w:rFonts w:ascii="Times New Roman;serif" w:hAnsi="Times New Roman;serif"/>
          <w:b w:val="false"/>
          <w:color w:val="000000"/>
          <w:sz w:val="20"/>
        </w:rPr>
        <w:t>$500 million</w:t>
      </w:r>
      <w:r>
        <w:rPr>
          <w:color w:val="000000"/>
          <w:shd w:fill="FFFFFF" w:val="clear"/>
        </w:rPr>
        <w:t xml:space="preserve"> </w:t>
      </w:r>
      <w:r>
        <w:rPr>
          <w:rFonts w:ascii="Times New Roman;serif" w:hAnsi="Times New Roman;serif"/>
          <w:b w:val="false"/>
          <w:color w:val="000000"/>
          <w:sz w:val="20"/>
          <w:shd w:fill="FFFFFF" w:val="clear"/>
        </w:rPr>
        <w:t xml:space="preserve">during 2025. The aggregate purchase price of </w:t>
      </w:r>
      <w:r>
        <w:rPr>
          <w:rFonts w:ascii="Times New Roman;serif" w:hAnsi="Times New Roman;serif"/>
          <w:b w:val="false"/>
          <w:color w:val="000000"/>
          <w:sz w:val="20"/>
        </w:rPr>
        <w:t>CoStar Group Shares</w:t>
      </w:r>
      <w:r>
        <w:rPr>
          <w:color w:val="000000"/>
          <w:shd w:fill="FFFFFF" w:val="clear"/>
        </w:rPr>
        <w:t xml:space="preserve"> </w:t>
      </w:r>
      <w:r>
        <w:rPr>
          <w:rFonts w:ascii="Times New Roman;serif" w:hAnsi="Times New Roman;serif"/>
          <w:b w:val="false"/>
          <w:color w:val="000000"/>
          <w:sz w:val="20"/>
          <w:shd w:fill="FFFFFF" w:val="clear"/>
        </w:rPr>
        <w:t>is recorded as treasury stock and presented as a reduction to stockholders' equity.</w:t>
      </w:r>
    </w:p>
    <w:p>
      <w:pPr>
        <w:pStyle w:val="TextBody"/>
        <w:bidi w:val="0"/>
        <w:spacing w:lineRule="auto" w:line="268" w:before="200" w:after="283"/>
        <w:ind w:left="0" w:right="0" w:firstLine="360"/>
        <w:jc w:val="left"/>
        <w:rPr>
          <w:rFonts w:ascii="Times New Roman;serif" w:hAnsi="Times New Roman;serif"/>
          <w:b/>
          <w:color w:val="000000"/>
          <w:sz w:val="20"/>
        </w:rPr>
      </w:pPr>
      <w:r>
        <w:rPr>
          <w:rFonts w:ascii="Times New Roman;serif" w:hAnsi="Times New Roman;serif"/>
          <w:b/>
          <w:color w:val="000000"/>
          <w:sz w:val="20"/>
        </w:rPr>
        <w:t>New Stock Repurchase Program</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December 2025, the Board of Directors approved a Stock Repurchase Program which authorizes, but does not obligate, the repurchase of up to $1.5 billion of CoStar Group Shares. Stock repurchases may be effected through open market repurchases in compliance with Rule 10b-18 under the Exchange Act or through a trading plan adopted in accordance with Rule 10b5-1 of the Exchange Act. Repurchases may be made from time to time at management's discretion, and the timing and amount of any such repurchases will be determined based on share price, market conditions, legal requirements, and other relevant factors. The program has no time limit and can be discontinued at any time at the Company’s discretion.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27, 2026, the Company entered into the 2026 ASR Agreement with a financial institution counterparty to repurchase $500 million of its outstanding common stock. The Company repurchased 11.2 million CoStar Group Shares during the term of the 2026 ASR Agreement based on the volume-weighted average price, net of discount, of $44.27 per share over the duration of the program, which was completed in March 2026.</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also repurchased $87 million of CoStar Group Shares pursuant to a 10b5-1 Plan, resulting in total repurchases of 13.8 million CoStar Group Shares for an aggregate cost of $589 million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200"/>
        <w:ind w:left="0" w:right="0" w:firstLine="36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200" w:after="200"/>
        <w:jc w:val="both"/>
        <w:rPr/>
      </w:pPr>
      <w:r>
        <w:rPr>
          <w:rFonts w:ascii="Times New Roman;serif" w:hAnsi="Times New Roman;serif"/>
          <w:b w:val="false"/>
          <w:color w:val="000000"/>
          <w:sz w:val="20"/>
        </w:rPr>
        <w:t xml:space="preserve">the Stock Repurchase Program, including pursuant to the 2026 ASR Agreement. Direct costs incurred to acquire the shares include </w:t>
      </w:r>
      <w:r>
        <w:rPr>
          <w:rFonts w:ascii="Times New Roman;serif" w:hAnsi="Times New Roman;serif"/>
          <w:b w:val="false"/>
          <w:color w:val="000000"/>
          <w:sz w:val="20"/>
          <w:shd w:fill="FFFFFF" w:val="clear"/>
        </w:rPr>
        <w:t xml:space="preserve">estimated excise taxes, transaction fees, and other costs and </w:t>
      </w:r>
      <w:r>
        <w:rPr>
          <w:rFonts w:ascii="Times New Roman;serif" w:hAnsi="Times New Roman;serif"/>
          <w:b w:val="false"/>
          <w:color w:val="000000"/>
          <w:sz w:val="20"/>
        </w:rPr>
        <w:t>are recorded in the aggregate cost for the treasury stock. Shares of common stock repurchased under the Stock Repurchase Program become treasury stock and are</w:t>
      </w:r>
      <w:r>
        <w:rPr>
          <w:color w:val="000000"/>
          <w:shd w:fill="FFFFFF" w:val="clear"/>
        </w:rPr>
        <w:t xml:space="preserve"> </w:t>
      </w:r>
      <w:r>
        <w:rPr>
          <w:rFonts w:ascii="Times New Roman;serif" w:hAnsi="Times New Roman;serif"/>
          <w:b w:val="false"/>
          <w:color w:val="000000"/>
          <w:sz w:val="20"/>
          <w:shd w:fill="FFFFFF" w:val="clear"/>
        </w:rPr>
        <w:t>recorded as a reduction to stockholders' equity</w:t>
      </w:r>
      <w:r>
        <w:rPr>
          <w:color w:val="000000"/>
        </w:rPr>
        <w:t xml:space="preserve"> </w:t>
      </w:r>
      <w:r>
        <w:rPr>
          <w:rFonts w:ascii="Times New Roman;serif" w:hAnsi="Times New Roman;serif"/>
          <w:b w:val="false"/>
          <w:color w:val="000000"/>
          <w:sz w:val="20"/>
        </w:rPr>
        <w:t>when the transaction is settled.</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$913 million of fair value of the Company's shares remains available for repurchases under the Stock Repurchase Program. </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2.0 million shares of preferred stock, $0.01 par value, authorized for issuance. The Board of Directors may issue the preferred stock from time to time as shares of one or more classes or series.</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1.2 billion CoStar Group Shares authorized for issuance. Dividends may be declared and paid on the common stock, subject in all cases to the rights and preferences of the holders of preferred stock and authorization by the Board of Directors. In the event of liquidation or winding up of the Company and after the payment of all preferential amounts required to be paid to the holders of any series of preferred stock, any remaining funds shall be distributed among the holders of the issued and outstanding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14.    EMPLOYEE BENEFIT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Stock Incentive Plans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of the outstanding stock options, RSAs, and RSUs are covered under the 2025 Plan or legacy plans. Awards under the 2025 Plan may include one or more of the following types: (i) stock options, (ii) stock appreciation rights, (iii) RSAs, (iv) RSUs, and (v) performance RSAs and RSUs . For additional information regarding the share-based awards of the Company, see Note 16 in the Notes to the Consolidated Financial Statements in the 2025 Form 10-K. Approximately 7.8 million shares were available for future grant under the 2025 Plan as of June 30, 2026.</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June 30, 2026, there was approximately $264 million of unrecognized compensation cost related to stock incentive plans, net of estimated forfeitures, which the Company expects to recognize over a weighted-average-period of three years. See Note 2 for further discussion of stock-based compensation expense.</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Stock Options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Option activity was as follows:</w:t>
      </w:r>
    </w:p>
    <w:tbl>
      <w:tblPr>
        <w:tblW w:w="8667" w:type="dxa"/>
        <w:jc w:val="left"/>
        <w:tblInd w:w="0" w:type="dxa"/>
        <w:tblLayout w:type="fixed"/>
        <w:tblCellMar>
          <w:top w:w="28" w:type="dxa"/>
          <w:left w:w="28" w:type="dxa"/>
          <w:bottom w:w="28" w:type="dxa"/>
          <w:right w:w="28" w:type="dxa"/>
        </w:tblCellMar>
      </w:tblPr>
      <w:tblGrid>
        <w:gridCol w:w="1065"/>
        <w:gridCol w:w="936"/>
        <w:gridCol w:w="938"/>
        <w:gridCol w:w="488"/>
        <w:gridCol w:w="488"/>
        <w:gridCol w:w="336"/>
        <w:gridCol w:w="109"/>
        <w:gridCol w:w="109"/>
        <w:gridCol w:w="109"/>
        <w:gridCol w:w="220"/>
        <w:gridCol w:w="642"/>
        <w:gridCol w:w="114"/>
        <w:gridCol w:w="109"/>
        <w:gridCol w:w="109"/>
        <w:gridCol w:w="109"/>
        <w:gridCol w:w="429"/>
        <w:gridCol w:w="429"/>
        <w:gridCol w:w="431"/>
        <w:gridCol w:w="109"/>
        <w:gridCol w:w="109"/>
        <w:gridCol w:w="109"/>
        <w:gridCol w:w="297"/>
        <w:gridCol w:w="655"/>
        <w:gridCol w:w="218"/>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3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Remaining</w:t>
              <w:br/>
              <w:t>Contract</w:t>
              <w:br/>
              <w:t>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Aggregate</w:t>
              <w:br/>
              <w:t>Intrinsic</w:t>
              <w:br/>
              <w:t>Value</w:t>
              <w:br/>
              <w:t>(in millions)</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3,203,725 </w:t>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38.32 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(907,426)</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Canceled or expired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(2,540)</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2,293,759 </w:t>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Exercisable at June 30, 2026</w:t>
            </w:r>
          </w:p>
        </w:tc>
        <w:tc>
          <w:tcPr>
            <w:tcW w:w="97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2,100,991 </w:t>
            </w:r>
          </w:p>
        </w:tc>
        <w:tc>
          <w:tcPr>
            <w:tcW w:w="33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the resulting weighted average inputs used to calculate the estimated fair value of options awarded: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200"/>
        <w:ind w:left="0" w:right="0" w:firstLine="36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6165" w:type="dxa"/>
        <w:jc w:val="left"/>
        <w:tblInd w:w="0" w:type="dxa"/>
        <w:tblLayout w:type="fixed"/>
        <w:tblCellMar>
          <w:top w:w="28" w:type="dxa"/>
          <w:left w:w="28" w:type="dxa"/>
          <w:bottom w:w="28" w:type="dxa"/>
          <w:right w:w="28" w:type="dxa"/>
        </w:tblCellMar>
      </w:tblPr>
      <w:tblGrid>
        <w:gridCol w:w="1182"/>
        <w:gridCol w:w="1042"/>
        <w:gridCol w:w="1046"/>
        <w:gridCol w:w="960"/>
        <w:gridCol w:w="493"/>
        <w:gridCol w:w="1442"/>
      </w:tblGrid>
      <w:tr>
        <w:trPr/>
        <w:tc>
          <w:tcPr>
            <w:tcW w:w="118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Pricing Model</w:t>
            </w:r>
          </w:p>
        </w:tc>
        <w:tc>
          <w:tcPr>
            <w:tcW w:w="28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Black-Scholes</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4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4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4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(in years)</w:t>
            </w:r>
          </w:p>
        </w:tc>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grant date fair value</w:t>
            </w:r>
          </w:p>
        </w:tc>
        <w:tc>
          <w:tcPr>
            <w:tcW w:w="9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30.05</w:t>
            </w:r>
          </w:p>
        </w:tc>
      </w:tr>
    </w:tbl>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RSAs and RSUs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grants RSAs and RSUs to certain executive officers, directors, and employees of the Company which vest over a specific service period. Certain grants for executive officers include performance conditions based on the achievement of operating goals over a three-year performance period. The number of shares ultimately vested under these PRSAs and PRSUs grants are determined based on a market condition measured by the Company's relative TSR compared to the S&amp;P 500 Index over the same three-year period. The number of shares earned may be adjusted based on a TSR payout percentage, which ranges between 80% and 120% for PRSAs and between 50% and 250% for PRSUs. The vesting of RSAs and RSUs is subject to continuing employment requirements.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determined that it was probable that at least the minimum performance goals associated with PRSAs and PRSUs granted would be met by their forfeiture dates. As of June 30, 2026, the Company expects to record aggregate stock-based compensation expense of approximately $16 million for performance-based RSAs over the remainder of 2026 and in 2027 and 2028. As of June 30, 2026, the Company expects to record aggregate stock-based compensation expense of approximately $17 million for performance-based RSUs over the remainder of 2026 and in 2027, 2028, and 2029.</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unvested RSAs activity for the six months ended June 30, 2026:</w:t>
      </w:r>
    </w:p>
    <w:tbl>
      <w:tblPr>
        <w:tblW w:w="10205" w:type="dxa"/>
        <w:jc w:val="left"/>
        <w:tblInd w:w="0" w:type="dxa"/>
        <w:tblLayout w:type="fixed"/>
        <w:tblCellMar>
          <w:top w:w="28" w:type="dxa"/>
          <w:left w:w="28" w:type="dxa"/>
          <w:bottom w:w="28" w:type="dxa"/>
          <w:right w:w="28" w:type="dxa"/>
        </w:tblCellMar>
      </w:tblPr>
      <w:tblGrid>
        <w:gridCol w:w="1111"/>
        <w:gridCol w:w="977"/>
        <w:gridCol w:w="979"/>
        <w:gridCol w:w="510"/>
        <w:gridCol w:w="512"/>
        <w:gridCol w:w="304"/>
        <w:gridCol w:w="109"/>
        <w:gridCol w:w="109"/>
        <w:gridCol w:w="109"/>
        <w:gridCol w:w="405"/>
        <w:gridCol w:w="1186"/>
        <w:gridCol w:w="210"/>
        <w:gridCol w:w="109"/>
        <w:gridCol w:w="109"/>
        <w:gridCol w:w="109"/>
        <w:gridCol w:w="435"/>
        <w:gridCol w:w="437"/>
        <w:gridCol w:w="304"/>
        <w:gridCol w:w="109"/>
        <w:gridCol w:w="109"/>
        <w:gridCol w:w="109"/>
        <w:gridCol w:w="396"/>
        <w:gridCol w:w="1160"/>
        <w:gridCol w:w="298"/>
      </w:tblGrid>
      <w:tr>
        <w:trPr/>
        <w:tc>
          <w:tcPr>
            <w:tcW w:w="1111"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PRSAs</w:t>
            </w:r>
          </w:p>
        </w:tc>
      </w:tr>
      <w:tr>
        <w:trPr/>
        <w:tc>
          <w:tcPr>
            <w:tcW w:w="306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3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Weighted-Average</w:t>
              <w:br/>
              <w:t>Grant Date</w:t>
              <w:br/>
              <w:t>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Weighted-Average</w:t>
              <w:br/>
              <w:t>Grant Date</w:t>
              <w:br/>
              <w:t>Fair Value per Share</w:t>
            </w:r>
          </w:p>
        </w:tc>
      </w:tr>
      <w:tr>
        <w:trPr/>
        <w:tc>
          <w:tcPr>
            <w:tcW w:w="30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Unvested restricted stock awards at December 31, 2025</w:t>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3,643,210 </w:t>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78.32 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996,000 </w:t>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84.93 </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63,132 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(1,036,250)</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(69,364)</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81.58 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Canceled</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(157,210)</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(170,876)</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81.58 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Unvested restricted stock awards at June 30, 2026</w:t>
            </w:r>
          </w:p>
        </w:tc>
        <w:tc>
          <w:tcPr>
            <w:tcW w:w="102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2,512,882 </w:t>
            </w:r>
          </w:p>
        </w:tc>
        <w:tc>
          <w:tcPr>
            <w:tcW w:w="3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78.50 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755,760 </w:t>
            </w:r>
          </w:p>
        </w:tc>
        <w:tc>
          <w:tcPr>
            <w:tcW w:w="3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86.00 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200"/>
        <w:ind w:left="0" w:right="0" w:firstLine="36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unvested RSUs activity for the six months ended June 30, 2026:</w:t>
      </w:r>
    </w:p>
    <w:tbl>
      <w:tblPr>
        <w:tblW w:w="10205" w:type="dxa"/>
        <w:jc w:val="left"/>
        <w:tblInd w:w="0" w:type="dxa"/>
        <w:tblLayout w:type="fixed"/>
        <w:tblCellMar>
          <w:top w:w="28" w:type="dxa"/>
          <w:left w:w="28" w:type="dxa"/>
          <w:bottom w:w="28" w:type="dxa"/>
          <w:right w:w="28" w:type="dxa"/>
        </w:tblCellMar>
      </w:tblPr>
      <w:tblGrid>
        <w:gridCol w:w="1137"/>
        <w:gridCol w:w="999"/>
        <w:gridCol w:w="1002"/>
        <w:gridCol w:w="488"/>
        <w:gridCol w:w="488"/>
        <w:gridCol w:w="307"/>
        <w:gridCol w:w="109"/>
        <w:gridCol w:w="109"/>
        <w:gridCol w:w="109"/>
        <w:gridCol w:w="407"/>
        <w:gridCol w:w="1192"/>
        <w:gridCol w:w="211"/>
        <w:gridCol w:w="109"/>
        <w:gridCol w:w="109"/>
        <w:gridCol w:w="109"/>
        <w:gridCol w:w="413"/>
        <w:gridCol w:w="413"/>
        <w:gridCol w:w="307"/>
        <w:gridCol w:w="109"/>
        <w:gridCol w:w="109"/>
        <w:gridCol w:w="109"/>
        <w:gridCol w:w="398"/>
        <w:gridCol w:w="1165"/>
        <w:gridCol w:w="297"/>
      </w:tblGrid>
      <w:tr>
        <w:trPr/>
        <w:tc>
          <w:tcPr>
            <w:tcW w:w="1137"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3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RSUs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PRSUs</w:t>
            </w:r>
          </w:p>
        </w:tc>
      </w:tr>
      <w:tr>
        <w:trPr/>
        <w:tc>
          <w:tcPr>
            <w:tcW w:w="3138"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w:t>
              <w:b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Weighted-Average</w:t>
              <w:br/>
              <w:t>Grant Date</w:t>
              <w:br/>
              <w:t>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w:t>
              <w:b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Weighted-Average</w:t>
              <w:br/>
              <w:t>Grant Date</w:t>
              <w:br/>
              <w:t>Fair Value per Share</w:t>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units at December 31, 2025</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714,920 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1,791,622 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642,603 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41.02 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(190,932)</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(148,194)</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(26,888)</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41.02 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units at June 30, 2026</w:t>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2,167,416 </w:t>
            </w:r>
          </w:p>
        </w:tc>
        <w:tc>
          <w:tcPr>
            <w:tcW w:w="3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615,715 </w:t>
            </w:r>
          </w:p>
        </w:tc>
        <w:tc>
          <w:tcPr>
            <w:tcW w:w="3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41.02 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assumptions used to estimate the fair value of PRSAs and PRSUs granted were as follows:</w:t>
      </w:r>
    </w:p>
    <w:tbl>
      <w:tblPr>
        <w:tblW w:w="7806" w:type="dxa"/>
        <w:jc w:val="left"/>
        <w:tblInd w:w="0" w:type="dxa"/>
        <w:tblLayout w:type="fixed"/>
        <w:tblCellMar>
          <w:top w:w="28" w:type="dxa"/>
          <w:left w:w="28" w:type="dxa"/>
          <w:bottom w:w="28" w:type="dxa"/>
          <w:right w:w="28" w:type="dxa"/>
        </w:tblCellMar>
      </w:tblPr>
      <w:tblGrid>
        <w:gridCol w:w="1182"/>
        <w:gridCol w:w="1042"/>
        <w:gridCol w:w="1046"/>
        <w:gridCol w:w="738"/>
        <w:gridCol w:w="381"/>
        <w:gridCol w:w="951"/>
        <w:gridCol w:w="117"/>
        <w:gridCol w:w="117"/>
        <w:gridCol w:w="117"/>
        <w:gridCol w:w="701"/>
        <w:gridCol w:w="361"/>
        <w:gridCol w:w="1053"/>
      </w:tblGrid>
      <w:tr>
        <w:trPr/>
        <w:tc>
          <w:tcPr>
            <w:tcW w:w="118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Pricing Model</w:t>
            </w:r>
          </w:p>
        </w:tc>
        <w:tc>
          <w:tcPr>
            <w:tcW w:w="20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Monte-Carlo simulation</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Monte-Carlo simulation</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9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9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0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9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(in years)</w:t>
            </w:r>
          </w:p>
        </w:tc>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grant date fair value</w:t>
            </w:r>
          </w:p>
        </w:tc>
        <w:tc>
          <w:tcPr>
            <w:tcW w:w="7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30.19</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15.    SUBSEQUENT EVENTS</w:t>
      </w:r>
    </w:p>
    <w:p>
      <w:pPr>
        <w:pStyle w:val="TextBody"/>
        <w:bidi w:val="0"/>
        <w:spacing w:lineRule="auto" w:line="288" w:before="14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evaluated subsequent events and transactions that occurred after the balance sheet date up to the date that the condensed consolidated financial statements were issued. Based upon this review, the Company did not identify any material subsequent events that required adjustment or disclosure in the condensed consolidated financial statements.</w:t>
      </w:r>
    </w:p>
    <w:p>
      <w:pPr>
        <w:pStyle w:val="TextBody"/>
        <w:bidi w:val="0"/>
        <w:spacing w:before="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200" w:after="200"/>
        <w:ind w:left="0" w:right="0" w:hanging="1080"/>
        <w:jc w:val="both"/>
        <w:rPr>
          <w:rFonts w:ascii="Times New Roman;serif" w:hAnsi="Times New Roman;serif"/>
          <w:b/>
          <w:color w:val="000000"/>
          <w:sz w:val="20"/>
        </w:rPr>
      </w:pPr>
      <w:r>
        <w:rPr>
          <w:rFonts w:ascii="Times New Roman;serif" w:hAnsi="Times New Roman;serif"/>
          <w:b/>
          <w:color w:val="000000"/>
          <w:sz w:val="20"/>
        </w:rPr>
        <w:t>Item 2.Management’s Discussion and Analysis of Financial Condition and Results of Operations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Management’s Discussion and Analysis of Financial Condition and Results of Operations contains “forward-looking statements,” including statements about our beliefs and expectations. There are many risks and uncertainties that could cause actual results to differ materially from those discussed in the forward-looking statements. Potential factors that could cause actual results to differ materially from those discussed in any forward-looking statements include, but are not limited to, those stated under the heading “Cautionary Statement Concerning Forward-Looking Statements” at the end of this Item 2, “Risk Factors” in Item 1A of Part I of our 2025 Form 10-K, as well as those described from time to time in our filings with the SEC.</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forward-looking statements are based on information available to us on the date of this filing, and we assume no obligation to update such statements, whether as a result of new information, future events or otherwise, except as required by applicable law. The following discussion should be read in conjunction with our 2025 Form 10-K, our subsequent Quarterly Reports on Form 10-Q, Current Reports on Form 8-K, other filings with the SEC, and the condensed consolidated financial statements and related notes included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CoStar Group is a leading global provider of online real estate marketplaces, information, analytics, and 3D digital twin technology in the property markets, based on the numbers of unique visitors and site visits per month; providing more information, analytics, and marketing services than many of our competitors; offering the most comprehensive commercial real estate database available; and having the largest commercial real estate research department in the industry. We have created and compiled a standardized platform of real estate information, analytics, and online marketplaces where industry professionals, consumers of commercial and residential real estate, including apartments, and the related business communities, can continuously interact and facilitate transactions by efficiently accessing and exchanging accurate and standardized real estate-related information. Our service offerings span all property types, including office, retail, industrial, multifamily, residential, land, mixed-use, and hospitality.</w:t>
      </w:r>
    </w:p>
    <w:p>
      <w:pPr>
        <w:pStyle w:val="TextBody"/>
        <w:bidi w:val="0"/>
        <w:spacing w:lineRule="auto" w:line="288" w:before="200" w:after="200"/>
        <w:ind w:left="0" w:right="0" w:firstLine="360"/>
        <w:jc w:val="both"/>
        <w:rPr/>
      </w:pPr>
      <w:r>
        <w:rPr>
          <w:rFonts w:ascii="Times New Roman;serif" w:hAnsi="Times New Roman;serif"/>
          <w:b w:val="false"/>
          <w:color w:val="000000"/>
          <w:sz w:val="20"/>
          <w:shd w:fill="FFFFFF" w:val="clear"/>
        </w:rPr>
        <w:t>Our services are primarily derived from a databas</w:t>
      </w:r>
      <w:r>
        <w:rPr>
          <w:rFonts w:ascii="Times New Roman;serif" w:hAnsi="Times New Roman;serif"/>
          <w:b w:val="false"/>
          <w:color w:val="000000"/>
          <w:sz w:val="20"/>
        </w:rPr>
        <w:t>e of building-specific and marketplace information and visual content and offer customers specialized tools for accessing, analyzing, and using our information and advertising on our marketplaces. Over time, we have expanded, and we expect to continue to expand, our existing real estate information, analytics, and online marketplaces. We have developed and we expect to continue to develop additional services leveraging our centralized database and 3D digital twin technology to meet the needs of our existing customers as well as potential new categories of customers.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services are typically distributed to our customers under subscription-based license agreements that generally renew automatically, the majority of which have a term of at least one year. Upon renewal, many of the subscription contract rates may change in accordance with contract provisions or as a result of contract renegotiations. To encourage customers to use our services regularly, we generally charge a fixed monthly amount for our subscription-based services rather than charging fees based on actual platform usage or number of paid clicks. Depending on the type of service, contract rates are generally based on the number of sites, number of users, organization size, the customer’s business focus, the customer's geographic location, the number of properties reported on or analyzed, the number and types of services to which a customer subscribes, the number of digital twins hosted, the number of properties a customer advertises, and the prominence and placement of a customer's advertised properties in the search results. Our subscription customers generally pay contract fees on a monthly basis, but in some cases may pay us on a quarterly or annual basis. Our transaction-based services primarily consist of (i) providing premium listings for individual properties on our marketplaces, (ii) providing data capture services to create digital twins, (iii) the sale of Matterport cameras and capture equipment, and (iv) Ten-X auction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Services</w:t>
      </w:r>
    </w:p>
    <w:p>
      <w:pPr>
        <w:pStyle w:val="TextBody"/>
        <w:bidi w:val="0"/>
        <w:spacing w:lineRule="auto" w:line="288" w:before="200" w:after="200"/>
        <w:ind w:left="0" w:right="0" w:firstLine="360"/>
        <w:jc w:val="both"/>
        <w:rPr/>
      </w:pPr>
      <w:r>
        <w:rPr>
          <w:rFonts w:ascii="Times New Roman;serif" w:hAnsi="Times New Roman;serif"/>
          <w:b w:val="false"/>
          <w:color w:val="000000"/>
          <w:sz w:val="20"/>
        </w:rPr>
        <w:t xml:space="preserve">We operate, develop products, and deliver our services in two reportable segments, Commercial Real Estate and Residential Real Estate. Our Commercial Real Estate segment offers commercial real estate information, analytics, online marketplaces, and </w:t>
      </w:r>
      <w:r>
        <w:rPr>
          <w:rFonts w:ascii="Times New Roman;serif" w:hAnsi="Times New Roman;serif"/>
          <w:b w:val="false"/>
          <w:color w:val="000000"/>
          <w:sz w:val="20"/>
          <w:shd w:fill="FFFFFF" w:val="clear"/>
        </w:rPr>
        <w:t xml:space="preserve">3D digital twin technology. </w:t>
      </w:r>
      <w:r>
        <w:rPr>
          <w:rFonts w:ascii="Times New Roman;serif" w:hAnsi="Times New Roman;serif"/>
          <w:b w:val="false"/>
          <w:color w:val="000000"/>
          <w:sz w:val="20"/>
        </w:rPr>
        <w:t>Our Residential Real Estate segment hosts marketplaces which aggregate consumer demand for homes and apartments and we sell marketing and leads to the agents, owners, landlords, and property management companies that need to reach those consumers with their offerings. Our principal services are described in the following paragraphs:</w:t>
      </w:r>
    </w:p>
    <w:p>
      <w:pPr>
        <w:pStyle w:val="TextBody"/>
        <w:bidi w:val="0"/>
        <w:spacing w:lineRule="auto" w:line="288" w:before="20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Commercial Real Estate</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CoStar</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CoStar is our subscription-based integrated platform for commercial real estate intelligence, which includes information about commercial real estate properties, properties for sale, comparable sales, tenants, space available for lease, industry professionals and their business relationships, industry news, and market status. CoStar also provides benchmarking for the hospitality industry under the STR brand, lease analytical capabilities, and risk management and other debt solutions for lenders. We also offer SaaS for lease management under the CoStar Real Estate Manager and Visual Lease brands.</w:t>
      </w:r>
    </w:p>
    <w:p>
      <w:pPr>
        <w:pStyle w:val="TextBody"/>
        <w:bidi w:val="0"/>
        <w:spacing w:lineRule="auto" w:line="288" w:before="20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LoopNet</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LoopNet Network of commercial real estate websites offers online marketplaces across the U.S., Europe, and the U.K. that enable commercial property owners, landlords, and real estate agents to advertise properties for sale or for lease. Commercial real estate agents, buyers, and tenants use the LoopNet Network of online marketplaces to search for available property listings that meet their criteria. With the Domain Acquisition, we also offer commercial real estate listings in Australia.</w:t>
      </w:r>
    </w:p>
    <w:p>
      <w:pPr>
        <w:pStyle w:val="TextBody"/>
        <w:bidi w:val="0"/>
        <w:spacing w:lineRule="auto" w:line="288" w:before="20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Other Commercial Real Estate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Other Commercial Real Estate includes revenue from the Matterport Acquisition, BizBuySell Network, and Ten-X's online auctions for commercial real estate. Matterport primarily provides hosting services for its 3D digital twins on a subscription basis. Matterport also provides capture services of spatial data and other add-on services to existing subscription customers and sells 3D capture cameras and accessories. Our BizBuySell Network provides online marketplaces for businesses and franchises for sale. </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Commercial Real Estate's revenue growth rate for the year ending December 31, 2026 to moderate compared to the revenue growth rate for the year ended December 31, 2025 primarily due to the nonrecurring benefit realized in 2025 from the Matterport Acquisition.</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Residential Real Estate</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residential marketplaces enable renters and homebuyers to find their dream homes by combining our proprietary research and neighborhood content with listing information, while enabling property owners, managers, and real estate agents to advertise their properties. Our flagship brands in the U.S. are Apartments.com, Homes.com, and Land.com. Apartments.com and Land.com provide comprehensive advertising on a subscription basis. Homes.com offers real estate agents subscription memberships promoting the agent's listings and profile on our websites, as well as the ability for real estate agents and homeowners to promote a single listing. Domain and OnTheMarket are our primary brands in Australia and the U.K., respectively. Domain primarily provides agents premium listings for individual properties. OnTheMarket hosts agents' listings on a subscription basis. </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Residential Real Estate's revenue growth rate for the year ending December 31, 2026 to accelerate compared to the revenue growth rate for the year ended December 31, 2025 due to a full year's benefit of the Domain Acquisition completed in August 2025 and an increase in the number of Homes.com memberships.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Subscription-based Services</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For the three months ended June 30, 2026 and 2025, our annualized net new bookings of subscription-based services on all contracts were </w:t>
      </w:r>
      <w:r>
        <w:rPr>
          <w:rFonts w:ascii="Times New Roman;serif" w:hAnsi="Times New Roman;serif"/>
          <w:b w:val="false"/>
          <w:color w:val="000000"/>
          <w:sz w:val="20"/>
          <w:shd w:fill="FFFFFF" w:val="clear"/>
        </w:rPr>
        <w:t>$69 million and $93 million,</w:t>
      </w:r>
      <w:r>
        <w:rPr>
          <w:color w:val="000000"/>
        </w:rPr>
        <w:t xml:space="preserve"> </w:t>
      </w:r>
      <w:r>
        <w:rPr>
          <w:rFonts w:ascii="Times New Roman;serif" w:hAnsi="Times New Roman;serif"/>
          <w:b w:val="false"/>
          <w:color w:val="000000"/>
          <w:sz w:val="20"/>
        </w:rPr>
        <w:t xml:space="preserve">respectively. Net new bookings is calculated based on the annualized amount of change in our sales bookings resulting from new subscription-based contracts, changes to existing subscription-based contracts, and cancellations of subscription-based contracts for the period reported. Net new bookings is calculated on all subscription-based contracts without regard to contract term. Net new bookings is considered an operating metric that is an indicator of future subscription revenue growth and is also used as a metric of sales force productivity by us and investors. However,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information regarding net new bookings is not comparable to, nor should it be substituted for, an analysis of our revenue over time. Revenue from our subscription-based contracts was approximately 89% and 95% of total revenue for the three months ended June 30, 2026 and 2025, respectively. The decrease in our percentage of subscription-based revenue was primarily due to Domain, which sells premium listings for individual properties, as well as the transactional products and services sold by Matterport.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each of the trailing 12 months ended June 30, 2026 and 2025, our contract renewal rates for existing company-wide CoStar Group subscription-based services for contracts with a term of at least one year were approximately 89%, and our cancellation rates for those services during the same periods were approximately 11%. Contract renewal rates are calculated on all subscription-based contracts with a term of at least one year. Our contract renewal rate is a quantitative measurement that is typically closely correlated with our revenue results. As a result, we believe that the rate may be a reliable indicator of short-term and long-term performance absent extraordinary circumstances. Our trailing 12-month contract renewal rate may decline as a result of negative economic conditions, consolidations among our customers, reductions in customer spending, or decreases in our customer base. Revenue from our subscription-based contracts with a term of at least one year was approximately 73% and 79% of total revenue for the trailing 12 months ended June 30, 2026 and 2025, respectively. The decrease in the percentage of revenue from our subscription-based contracts with a term of at least one year was primarily due to the Domain product which are sold as premium listings for individual properties, as well as the transactional products and services sold by Matterport.</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fourth quarter of 2025, we changed the composition of our segments from geography-based to product portfolio-based. This change aligns with the internal reporting used by the CODM for assessing performance and allocating resources. See Notes 2, 3, and 12 of the Notes to the Condensed Consolidated Financial Statements included in Part I of this Report for additional information on the segment 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Development, Investments, and Expansion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plan to continue to invest in our business and our services, evaluate strategic growth opportunities, and pursue our key priorities as described below. We are committed to supporting, improving, and enhancing our real estate information, analytics, and online marketplaces solutions, including expanding and improving our offerings for our client base and site users, including property owners, property managers, buyers, commercial tenants, and residential renters and buyers. We expect to continue our software development efforts to improve existing services, introduce new services, integrate and cross-sell services, integrate recently completed acquisitions, and expand and develop supporting technologies for our research, sales, and marketing organizations. We may reevaluate our priorities as economic conditions continue to evolve.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key priorities for the remainder of 2026 currently include: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Enhancement of our residential products and platforms. Leveraging rentals marketing and lead generation across platforms, in particular, Apartments.com and Homes.com. Scaling Homes.com through new product releases including depth advertising. Continuing to develop new and improved tools for residential agents and brokers to help amplify their reach.</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International expansion of LoopNet and CoStar. We launched our LoopNet branded advertising products in Spain and France and continue to expand our footprint of commercial listings in these markets. In addition, we launched CoStar in France and plan to launch CoStar in Australia later this year.</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Launching additional AI-enabled features across our products. We plan to extend the revolutionary capability of Homes Ai and Apartments Ai across the Company’s portfolio of leading platforms, including CoStar and LoopNet, ushering in a new era of intelligent, conversational real estate discovery. Our AI capabilities draw from property data, Matterport 3D digital twin technology, images, proprietary school data, neighborhood insights, and market intelligence.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Continuing to expand our CoStar offerings with additional modules, including new data and enhanced analytics. We have launched CoStar Rent Benchmark, an AI-abstracted dataset built from 4 million actual leases and lease documents. This product allows users to make more confident decisions with real data rather than using less reliable asking rents or broker report information. We are developing debt benchmarking. This feature will give lenders visibility to improve decisions across origination, portfolio risk, and compliance. We expect these enhancements will drive new subscribers and additional usage under one platform.</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Leveraging technology and AI capabilities in our internal processes. We are using advanced technology, including AI, to improve data collection, data generation, and data quality. AI is driving research efficiencies, improving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quality, and increasing the pace of product development. Proprietary data, an integrated delivery platform, and bespoke research processes underpin our product solutions.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intend to continue to assess the need for additional investments in our business in order to develop and distribute new services and functionality within our current platform or expand the reach of, or otherwise improve, our current service offerings. Any future product development or expansion of services, combination and coordination of services, or elimination of services or corporate expansion, development, or restructuring efforts could reduce our profitability and increase our capital expenditures. Any new investments, changes to our service offerings, or other unforeseen events could cause us to experience reduced revenue or generate losses and negative cash flow from operations in the future. Any development efforts must comply with our credit facility, which contains restrictive covenants that restrict our operations and use of our cash flow and may prevent us from taking certain actions that we believe could increase our profitability or otherwise enhance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prepare and publicly release quarterly unaudited financial statements prepared in accordance with GAAP. We also disclose and discuss certain non-GAAP financial measures in our public releases, investor conference calls, and filings with the SEC. The non-GAAP financial measures that we may disclose include EBITDA, Adjusted EBITDA, Adjusted EBITDA margin, Adjusted Net Income, and Adjusted EPS.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EBITDA is our net income (loss) before interest income or expense, net; other expense or income, net; income taxes; depreciation; and amortization.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Adjusted EBITDA is different from EBITDA because we further adjust EBITDA for stock-based compensation expense; acquisition- and integration-related costs; restructuring and related costs, including certain advisory fees; and settlements and impairments incurred outside our ordinary course of business, including judgments. Adjusted EBITDA margin represents Adjusted EBITDA divided by revenue for the period.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typically disclose EBITDA, Adjusted EBITDA, and Adjusted EBITDA Margin on a consolidated and on an operating segment basis in our earnings releases, investor conference calls, and filings with the SEC.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Adjusted Net Income represents our net income (loss) adjusted for stock-based compensation expense; acquisition- and integration-related costs, including gains or losses on equity investments acquired in prospective targets and related to deal-contingent financial instruments; restructuring costs; settlement and impairment costs incurred outside our ordinary course of business, including judgments and related, non-recurring interest; and amortization of acquired intangible assets and other related costs, and then subtracting an assumed provision for income taxes.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EPS represents Adjusted Net Income divided by the number of diluted shares outstanding for the period used in the calculation of GAAP earnings per diluted share. For periods with GAAP net losses and Adjusted Net Income, the weighted average outstanding shares used to calculate Adjusted EPS includes potentially dilutive securities that were excluded from the calculation of GAAP earnings per share as the effect was anti-dilutive.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disclose Adjusted EPS and Adjusted Net Income on a consolidated basis in our earnings releases, investor conference calls, and filings with the SEC.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non-GAAP financial measures that we use may not be comparable to similarly titled measures reported by other companies. Also, in the future, we may disclose different non-GAAP financial measures in order to help our investors meaningfully evaluate and compare our results of operations to our previously reported results of operations or to those of other companies in our industry.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view EBITDA, Adjusted EBITDA, Adjusted EBITDA margin, Adjusted Net Income, and Adjusted EPS as operating performance measures. We believe that the most directly comparable GAAP financial measure to EBITDA, Adjusted EBITDA, and Adjusted Net Income is net income (loss). We believe the most directly comparable GAAP financial measure to Adjusted EPS and Adjusted EBITDA margin are earnings per diluted share and net income (loss) divided by revenue, respectively. In calculating EBITDA, Adjusted EBITDA, Adjusted EBITDA margin, Adjusted Net Income, and Adjusted EPS, we exclude from net income (loss) the financial items that we believe should be separately identified to provide additional analysis of the financial components of the day-to-day operation of our business. We have outlined below the type and scope of these exclusions and the material limitations on the use of these non-GAAP financial measures as a result of these exclusions. EBITDA, Adjusted EBITDA, Adjusted EBITDA margin, Adjusted Net Income, and Adjusted EPS are not measurements of financial performance under GAAP and should not be considered as a measure of liquidity, as an alternative to net income (loss), or as an indicator of any other measure of performance derived in accordance with GAAP. Investors and potential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investors in our securities should not rely on EBITDA, Adjusted EBITDA, Adjusted EBITDA margin, Adjusted Net Income, and Adjusted EPS as a substitute for any GAAP financial measure, including net income (loss) and earnings per diluted share. In addition, we urge investors and potential investors in our securities to carefully review the GAAP financial information included as part of our Annual Reports on Form 10-K and Quarterly Reports on Form 10-Q that are filed with the SEC, as well as our quarterly earnings releases, and compare the GAAP financial information with our EBITDA, Adjusted EBITDA, Adjusted EBITDA margin, Adjusted Net Income, and Adjusted EPS.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EBITDA, Adjusted EBITDA, Adjusted EBITDA margin, Adjusted Net Income, and Adjusted EPS may be used by management to internally measure our operating and management performance and may be used by investors as supplemental financial measures to evaluate the performance of our business. We believe that these non-GAAP measures, when viewed with our GAAP results and accompanying reconciliations, provide additional information to investors that is useful to understand the factors and trends affecting our business without the impact of certain acquisition-related items. We have spent more than 35 years building our database of commercial real estate information and expanding our markets and services partially through acquisitions of complementary businesses. Due to these acquisitions, our net income (loss) has included significant charges for amortization of acquired intangible assets; depreciation and other amortization; acquisition- and integration-related costs, including gains or losses on equity investments acquired in prospective targets and related to deal-contingent financial instruments; interest income (expense); and restructuring and related costs, including certain advisory fees. Adjusted EBITDA, Adjusted EBITDA margin, Adjusted Net Income, and Adjusted EPS exclude these charges and provide meaningful information about the operating performance of our business, apart from charges for amortization of acquired intangible assets; depreciation and other amortization; acquisition- and integration-related costs; restructuring and related costs, including certain advisory fees; and settlement and impairment costs incurred outside our ordinary course of business, including judgments and related, non-recurring interest. We believe the disclosure of non-GAAP measures can help investors meaningfully evaluate and compare our performance from quarter to quarter and from year to year without the impact of these items. We also believe the non-GAAP measures we disclose are measures of our ongoing operating performance because the isolation of non-cash charges, such as amortization and depreciation, and other items, such as interest income or expense, net; other expense or income, net; income taxes; stock-based compensation expenses, acquisition- and integration-related costs; interest income (expense); restructuring and related costs, including certain advisory fees; and settlement and impairment costs incurred outside our ordinary course of business, including judgments and related, non-recurring interest, provides additional information about our cost structure, and, over time, helps track our operating progress. In addition, investors, securities analysts, and others have regularly relied on EBITDA and may rely on Adjusted EBITDA, Adjusted EBITDA margin, Adjusted Net Income, or Adjusted EPS to provide a financial measure by which to compare our operating performance against that of other companies in our industry.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Set forth below are descriptions of financial items that have been excluded from net income (loss) to calculate EBITDA and the material limitations associated with using this non-GAAP financial measure as compared to net income (loss):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Amortization of acquired intangible assets in cost of revenue may be useful for investors to consider because it represents the diminishing value of any acquired trade names and other intangible assets and the use of our acquired technology, which is one of the sources of information for our database of commercial real estate information. We do not believe these charges necessarily reflect the current and ongoing cash charges related to our operating cost structure.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Amortization of acquired intangible assets in operating expenses may be useful for investors to consider because it represents the estimated attrition of our acquired customer base. We do not believe these charges necessarily reflect the current and ongoing cash charges related to our operating cost structure.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Depreciation and other amortization may be useful for investors to consider because they generally represent the wear and tear on our property and equipment used in our operations. We do not believe these charges necessarily reflect the current and ongoing cash charges related to our operating cost structure.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amount of interest income or expense, net and other expense or income, net we generate and incur may be useful for investors to consider and may result in current cash inflows and outflows. However, we do not consider the amount of interest income or expense, net and other expense or income, net to be a representative component of the day-to-day operating performance of our business.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Income tax expense may be useful for investors to consider because it generally represents the taxes that may be payable for the period and the change in deferred income taxes during the period and may reduce the amount of funds otherwise available for use in our business. However, we do not consider the amount of income tax expense to be a representative component of the day-to-day operating performance of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Set forth below are descriptions of additional financial items that have been excluded from EBITDA to calculate Adjusted EBITDA and the material limitations associated with using this non-GAAP financial measure as compared to net income (loss):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Stock-based compensation expense may be useful for investors to consider because it represents a portion of the compensation of our employees and executives. Determining the fair value of the stock-based instruments involves a high degree of judgment and estimation and the expenses recorded may bear little resemblance to the actual value realized upon the future exercise or termination of the related stock-based awards. Therefore, we believe it is useful to exclude stock-based compensation in order to better understand the long-term performance of our core business.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amount of acquisition- and integration-related costs incurred may be useful for investors to consider because such costs generally represent professional service fees and direct expenses related to acquisitions. Because we do not acquire businesses on a predictable cycle, we do not consider the amount of acquisition- and integration-related costs to be a representative component of the day-to-day operating performance of our business.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amount of settlement and impairment costs incurred outside of our ordinary course of business, including judgments, may be useful for investors to consider because they generally represent gains or losses from the settlement of litigation matters, including judgments, charges related to terminations of contracts or impairments of acquired intangible assets or other long-lived assets. We do not believe these charges necessarily reflect the current and ongoing cash charges related to our operating cost structure.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amount of restructuring and related costs, including certain advisory costs, incurred may be useful for investors to consider because they generally represent costs incurred in connection with changes to the structure of our operations, governance, offices and related properties, and suppliers or employees used to deliver services and include costs to terminate contracts, advisory fees and other professional services, and severance. Because we do not carry out restructuring activities on a predictable cycle, we do not consider the amount of restructuring-related costs to be a representative component of the day-to-day operating performance of our business.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financial items that have been excluded from our net income (loss) to calculate Adjusted Net Income and Adjusted EPS are amortization of acquired intangible assets and other related costs; stock-based compensation; acquisition- and integration-related costs, including gains or losses on equity investments acquired in prospective targets and related to deal-contingent financial instruments; restructuring and related costs; and settlement and impairment costs incurred outside our ordinary course of business, including judgments. These items are the same as discussed above with respect to the calculation of Adjusted EBITDA together with the material limitations associated with using non-GAAP financial measures as compared to net income (loss). We further exclude non-recurring interest charges related to judgments from Adjusted Net Income and Adjusted EPS as this may be useful for investors to consider because these non-recurring interest charges generally represent costs associated with the settlement of litigation matters, including judgments. We do not believe these charges necessarily reflect the current and ongoing cash charges related to our operating cost structure. In addition to these exclusions from net income (loss), we subtract an assumed provision for income taxes to calculate Adjusted Net Income. In both 2026 and 2025, we assume a 26.0% tax rate, which approximates our historical long-term statutory corporate tax rate, excluding the impact of discrete items.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compensates for the above-described limitations of using non-GAAP measures by using a non-GAAP measure only to supplement our GAAP results and to provide additional information that is useful to investors to understand the factors and trends affecting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Consolidated Results of Operations</w:t>
      </w:r>
    </w:p>
    <w:p>
      <w:pPr>
        <w:pStyle w:val="TextBody"/>
        <w:bidi w:val="0"/>
        <w:spacing w:lineRule="auto" w:line="288" w:before="0" w:after="200"/>
        <w:ind w:left="0" w:right="0" w:firstLine="360"/>
        <w:jc w:val="left"/>
        <w:rPr>
          <w:rFonts w:ascii="Times New Roman;serif" w:hAnsi="Times New Roman;serif"/>
          <w:b/>
          <w:color w:val="000000"/>
          <w:sz w:val="20"/>
        </w:rPr>
      </w:pPr>
      <w:r>
        <w:rPr>
          <w:rFonts w:ascii="Times New Roman;serif" w:hAnsi="Times New Roman;serif"/>
          <w:b/>
          <w:color w:val="000000"/>
          <w:sz w:val="20"/>
        </w:rPr>
        <w:t>Three Months Ended June 30, 2026 Compared to Three Months Ended June 30, 2025</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compares our selected condensed consolidated results of operations for the three months ended June 30, 2026 and 2025 (in millions):</w:t>
      </w:r>
    </w:p>
    <w:tbl>
      <w:tblPr>
        <w:tblW w:w="10205" w:type="dxa"/>
        <w:jc w:val="left"/>
        <w:tblInd w:w="0" w:type="dxa"/>
        <w:tblLayout w:type="fixed"/>
        <w:tblCellMar>
          <w:top w:w="28" w:type="dxa"/>
          <w:left w:w="28" w:type="dxa"/>
          <w:bottom w:w="28" w:type="dxa"/>
          <w:right w:w="28" w:type="dxa"/>
        </w:tblCellMar>
      </w:tblPr>
      <w:tblGrid>
        <w:gridCol w:w="1507"/>
        <w:gridCol w:w="1285"/>
        <w:gridCol w:w="1293"/>
        <w:gridCol w:w="211"/>
        <w:gridCol w:w="466"/>
        <w:gridCol w:w="109"/>
        <w:gridCol w:w="109"/>
        <w:gridCol w:w="109"/>
        <w:gridCol w:w="109"/>
        <w:gridCol w:w="211"/>
        <w:gridCol w:w="466"/>
        <w:gridCol w:w="109"/>
        <w:gridCol w:w="109"/>
        <w:gridCol w:w="109"/>
        <w:gridCol w:w="109"/>
        <w:gridCol w:w="531"/>
        <w:gridCol w:w="909"/>
        <w:gridCol w:w="276"/>
        <w:gridCol w:w="109"/>
        <w:gridCol w:w="109"/>
        <w:gridCol w:w="109"/>
        <w:gridCol w:w="391"/>
        <w:gridCol w:w="372"/>
        <w:gridCol w:w="1088"/>
      </w:tblGrid>
      <w:tr>
        <w:trPr/>
        <w:tc>
          <w:tcPr>
            <w:tcW w:w="1507"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r>
      <w:tr>
        <w:trPr/>
        <w:tc>
          <w:tcPr>
            <w:tcW w:w="4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Increase (Decrease)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Increase (Decrease) (%)</w:t>
            </w:r>
          </w:p>
        </w:tc>
      </w:tr>
      <w:tr>
        <w:trPr/>
        <w:tc>
          <w:tcPr>
            <w:tcW w:w="40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CoStar</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LoopNet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Commercial Real Estate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Commercial Real Estate</w:t>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(excluding customer base amortization)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development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base amortization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0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w:t>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pPr>
      <w:r>
        <w:rPr>
          <w:rFonts w:ascii="Times New Roman;serif" w:hAnsi="Times New Roman;serif"/>
          <w:b w:val="false"/>
          <w:i/>
          <w:color w:val="000000"/>
          <w:sz w:val="20"/>
        </w:rPr>
        <w:t xml:space="preserve">Revenue. </w:t>
      </w:r>
      <w:r>
        <w:rPr>
          <w:rFonts w:ascii="Times New Roman;serif" w:hAnsi="Times New Roman;serif"/>
          <w:b w:val="false"/>
          <w:color w:val="000000"/>
          <w:sz w:val="20"/>
        </w:rPr>
        <w:t>Revenue increased by $144 million, or 18%, to $925 million, driven by the following:</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Commercial Real Estate revenue increased by $35 million, or 8%, to $481 million due to: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CoStar revenue of $27 million, or 9%, due to an increase in subscribers, inflation-based price increases, and additional sales of STR Benchmarking,</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LoopNet revenue of $11 million, or 14%, due to an increase in the number of listings, and the Domain Acquisition completed in August 2025, partially offset by</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 decrease in Other Commercial Real Estate revenue of $3 million, or 5%, primarily due to fewer properties transacted on Ten-X.</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Residential Real Estate revenue increased by $109 million, or 33%, to $444 million, primarily due to:</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$70 million of revenue from the Domain Acquisition completed in August 2025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the number of memberships and properties advertised on our network, partially offset by a reduction in average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ind w:left="0" w:right="0" w:firstLine="360"/>
        <w:jc w:val="both"/>
        <w:rPr/>
      </w:pPr>
      <w:r>
        <w:rPr>
          <w:rFonts w:ascii="Times New Roman;serif" w:hAnsi="Times New Roman;serif"/>
          <w:b w:val="false"/>
          <w:i/>
          <w:color w:val="000000"/>
          <w:sz w:val="20"/>
        </w:rPr>
        <w:t>Gross Profit and Cost of Revenue</w:t>
      </w:r>
      <w:r>
        <w:rPr>
          <w:rFonts w:ascii="Times New Roman;serif" w:hAnsi="Times New Roman;serif"/>
          <w:b w:val="false"/>
          <w:color w:val="000000"/>
          <w:sz w:val="20"/>
        </w:rPr>
        <w:t>. Gross profit increased by $115 million, or 19%, to $728 million, and the gross profit margin increased from 78% to 79%. The increase in gross profit was due to higher revenue, partially offset by an increase in the cost of revenue. Cost of revenue increased by $29 million, or 17%, to $197 million and, as a percentage of revenue, decreased from 22% to 21%. The increase in cost of revenue included: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higher amortization expense related to acquired technology and trade names from the Matterport and Domain Acquisitions,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increase in web hosting, data, and content costs of $9 million, primarily due to the Domain Acquisition,</w:t>
      </w:r>
    </w:p>
    <w:p>
      <w:pPr>
        <w:pStyle w:val="TextBody"/>
        <w:bidi w:val="0"/>
        <w:spacing w:before="0" w:after="0"/>
        <w:jc w:val="both"/>
        <w:rPr/>
      </w:pPr>
      <w:r>
        <w:rPr/>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supplies and office services expense of $4 million, primarily due to Domain operations and field research operations for existing brands,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personnel costs of $3 million, primarily due to incremental headcount added through the Domain Acquisition,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 increase of $3 million due to higher Domain occupancy costs and bank and merchant fees, partially offset by</w:t>
      </w:r>
    </w:p>
    <w:p>
      <w:pPr>
        <w:pStyle w:val="TextBody"/>
        <w:bidi w:val="0"/>
        <w:spacing w:before="0" w:after="0"/>
        <w:jc w:val="both"/>
        <w:rPr/>
      </w:pPr>
      <w:r>
        <w:rPr/>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 $2 million gain on the sale of the research plane and a $1 million decrease in professional service expense.</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Selling and Marketing (Excluding Customer Base Amortization) Expenses</w:t>
      </w:r>
      <w:r>
        <w:rPr>
          <w:rFonts w:ascii="Times New Roman;serif" w:hAnsi="Times New Roman;serif"/>
          <w:b w:val="false"/>
          <w:color w:val="000000"/>
          <w:sz w:val="20"/>
        </w:rPr>
        <w:t>. Selling and marketing (excluding customer base amortization) expenses were consistent at $395 million and, as a percentage of revenue, decreased from 51% to 43%. The change included: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of $26 million related to the Domain Acquisition, including $13 million of personnel and related costs, $11 million of marketing expenses and $2 million of indirect costs, offset by the following decreases in the remaining brands: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 decrease of $12 million in marketing expense for advertising of our brands,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 decrease of $10 million in personnel and related costs, primarily due to lower sales commissions and lower stock-based compensation expense from accelerated compensation recognized for certain Matterport employees in the prior-year period,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 decrease of $4 million in professional services and recruiting costs.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Software Development Expenses</w:t>
      </w:r>
      <w:r>
        <w:rPr>
          <w:rFonts w:ascii="Times New Roman;serif" w:hAnsi="Times New Roman;serif"/>
          <w:b w:val="false"/>
          <w:color w:val="000000"/>
          <w:sz w:val="20"/>
        </w:rPr>
        <w:t>. Software development expenses increased by $11 million, or 11%, to $107 million and, as a percentage of revenue, were consistent at 12%. The increase included: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personnel costs, primarily due to additional headcount from the Domain Acquisition,</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software and equipment costs of $3 million, primarily due to increased spending on AI software,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occupancy costs of $1 million, primarily due to the Domain Acquisition.</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General and Administrative Expenses</w:t>
      </w:r>
      <w:r>
        <w:rPr>
          <w:rFonts w:ascii="Times New Roman;serif" w:hAnsi="Times New Roman;serif"/>
          <w:b w:val="false"/>
          <w:color w:val="000000"/>
          <w:sz w:val="20"/>
        </w:rPr>
        <w:t>. General and administrative expenses decreased by $8 million, or 7%, to $114 million and, as a percentage of revenue, decreased from 16% to 12%. The decrease included: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 gain from recoveries related to the Brown Judgment received during the quarter,</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 decrease of $8 million in personnel costs, primarily due to accelerated stock-based compensation expense recognized in the prior-year period for certain executives, partially offset by</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of $8 million in professional services fees, primarily due to higher legal-related expenses from defending our intellectual property,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software and equipment costs of $6 million, primarily due to the Domain acquisition and increased investment in enterprise technology for existing brands.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Customer Base Amortization Expense</w:t>
      </w:r>
      <w:r>
        <w:rPr>
          <w:rFonts w:ascii="Times New Roman;serif" w:hAnsi="Times New Roman;serif"/>
          <w:b w:val="false"/>
          <w:color w:val="000000"/>
          <w:sz w:val="20"/>
        </w:rPr>
        <w:t>. Customer base amortization expense increased by $9 million, or 33%, to $36 million, and, as a percentage of revenue, increased from 3% to 4%. The increase was primarily due to amortization of intangible assets recognized in connection with the Domain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68" w:before="0" w:after="200"/>
        <w:ind w:left="0" w:right="0" w:firstLine="360"/>
        <w:jc w:val="both"/>
        <w:rPr/>
      </w:pPr>
      <w:r>
        <w:rPr>
          <w:rFonts w:ascii="Times New Roman;serif" w:hAnsi="Times New Roman;serif"/>
          <w:b w:val="false"/>
          <w:i/>
          <w:color w:val="000000"/>
          <w:sz w:val="20"/>
        </w:rPr>
        <w:t>Interest Income (Expense), Net</w:t>
      </w:r>
      <w:r>
        <w:rPr>
          <w:rFonts w:ascii="Times New Roman;serif" w:hAnsi="Times New Roman;serif"/>
          <w:b w:val="false"/>
          <w:color w:val="000000"/>
          <w:sz w:val="20"/>
        </w:rPr>
        <w:t>. Interest income (expense), net changed by $35 million, or 106%, to a net expense of $2 million. The change was primarily due to a decrease in our cash and cash equivalents, as well as $9 million of interest expense recognized during the current quarter related to the Brown Judgment.</w:t>
      </w:r>
    </w:p>
    <w:p>
      <w:pPr>
        <w:pStyle w:val="TextBody"/>
        <w:bidi w:val="0"/>
        <w:spacing w:lineRule="auto" w:line="268" w:before="0" w:after="200"/>
        <w:ind w:left="0" w:right="0" w:firstLine="360"/>
        <w:jc w:val="both"/>
        <w:rPr/>
      </w:pPr>
      <w:r>
        <w:rPr>
          <w:rFonts w:ascii="Times New Roman;serif" w:hAnsi="Times New Roman;serif"/>
          <w:b w:val="false"/>
          <w:i/>
          <w:color w:val="000000"/>
          <w:sz w:val="20"/>
        </w:rPr>
        <w:t>Other Income, Net.</w:t>
      </w:r>
      <w:r>
        <w:rPr>
          <w:color w:val="000000"/>
        </w:rPr>
        <w:t xml:space="preserve"> </w:t>
      </w:r>
      <w:r>
        <w:rPr>
          <w:rFonts w:ascii="Times New Roman;serif" w:hAnsi="Times New Roman;serif"/>
          <w:b w:val="false"/>
          <w:color w:val="000000"/>
          <w:sz w:val="20"/>
        </w:rPr>
        <w:t>Other income, net decreased by $16 million. The decrease included:</w:t>
      </w:r>
    </w:p>
    <w:p>
      <w:pPr>
        <w:pStyle w:val="TextBody"/>
        <w:bidi w:val="0"/>
        <w:spacing w:lineRule="auto" w:line="268" w:before="0" w:after="200"/>
        <w:ind w:left="0" w:right="0" w:hanging="360"/>
        <w:jc w:val="both"/>
        <w:rPr/>
      </w:pPr>
      <w:r>
        <w:rPr>
          <w:color w:val="000000"/>
        </w:rPr>
        <w:t>•</w:t>
      </w:r>
      <w:r>
        <w:rPr>
          <w:rFonts w:ascii="Times New Roman;serif" w:hAnsi="Times New Roman;serif"/>
          <w:b w:val="false"/>
          <w:color w:val="000000"/>
          <w:sz w:val="20"/>
        </w:rPr>
        <w:t>an unrealized gain on the deal-contingent forward U.S. dollar to Australian dollar contracts entered into in conjunction with the Domain Acquisition in the prior-year period, and</w:t>
      </w:r>
    </w:p>
    <w:p>
      <w:pPr>
        <w:pStyle w:val="TextBody"/>
        <w:bidi w:val="0"/>
        <w:spacing w:lineRule="auto" w:line="268" w:before="0" w:after="200"/>
        <w:ind w:left="0" w:right="0" w:hanging="360"/>
        <w:jc w:val="both"/>
        <w:rPr/>
      </w:pPr>
      <w:r>
        <w:rPr>
          <w:color w:val="000000"/>
        </w:rPr>
        <w:t>•</w:t>
      </w:r>
      <w:r>
        <w:rPr>
          <w:rFonts w:ascii="Times New Roman;serif" w:hAnsi="Times New Roman;serif"/>
          <w:b w:val="false"/>
          <w:color w:val="000000"/>
          <w:sz w:val="20"/>
        </w:rPr>
        <w:t>an unrealized gain of $9 million recognized in the prior-year period related to the equity securities of Domain, partially offset by</w:t>
      </w:r>
    </w:p>
    <w:p>
      <w:pPr>
        <w:pStyle w:val="TextBody"/>
        <w:bidi w:val="0"/>
        <w:spacing w:lineRule="auto" w:line="268" w:before="0" w:after="200"/>
        <w:ind w:left="0" w:right="0" w:hanging="360"/>
        <w:jc w:val="both"/>
        <w:rPr/>
      </w:pPr>
      <w:r>
        <w:rPr>
          <w:color w:val="000000"/>
        </w:rPr>
        <w:t>•</w:t>
      </w:r>
      <w:r>
        <w:rPr>
          <w:rFonts w:ascii="Times New Roman;serif" w:hAnsi="Times New Roman;serif"/>
          <w:b w:val="false"/>
          <w:color w:val="000000"/>
          <w:sz w:val="20"/>
        </w:rPr>
        <w:t>a decrease of $5 million in depreciation and amortization expense from leasing activities driven by a change in the useful life of improvements related to tenants.</w:t>
      </w:r>
    </w:p>
    <w:p>
      <w:pPr>
        <w:pStyle w:val="TextBody"/>
        <w:bidi w:val="0"/>
        <w:spacing w:lineRule="auto" w:line="268" w:before="0" w:after="0"/>
        <w:ind w:left="0" w:right="0" w:firstLine="360"/>
        <w:jc w:val="both"/>
        <w:rPr/>
      </w:pPr>
      <w:r>
        <w:rPr>
          <w:rFonts w:ascii="Times New Roman;serif" w:hAnsi="Times New Roman;serif"/>
          <w:b w:val="false"/>
          <w:i/>
          <w:color w:val="000000"/>
          <w:sz w:val="20"/>
        </w:rPr>
        <w:t>Income Tax Expense</w:t>
      </w:r>
      <w:r>
        <w:rPr>
          <w:rFonts w:ascii="Times New Roman;serif" w:hAnsi="Times New Roman;serif"/>
          <w:b w:val="false"/>
          <w:color w:val="000000"/>
          <w:sz w:val="20"/>
        </w:rPr>
        <w:t>. Income tax expense increased by $3 million, or 19%, to $19 million, and the effective tax rate was 26% of income before income taxes for the three months ended June 30, 2026, compared to 73% of income before income taxes for the three months ended June 30, 2025. The change in income tax expense was primarily due to higher income before taxes.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Three Months Ended June 30, 2025 Compared to Three Months Ended June 30, 2024</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compares our selected condensed consolidated results of operations for the three months ended June 30, 2025 and 2024 (in millions):</w:t>
      </w:r>
    </w:p>
    <w:tbl>
      <w:tblPr>
        <w:tblW w:w="10205" w:type="dxa"/>
        <w:jc w:val="left"/>
        <w:tblInd w:w="0" w:type="dxa"/>
        <w:tblLayout w:type="fixed"/>
        <w:tblCellMar>
          <w:top w:w="28" w:type="dxa"/>
          <w:left w:w="28" w:type="dxa"/>
          <w:bottom w:w="28" w:type="dxa"/>
          <w:right w:w="28" w:type="dxa"/>
        </w:tblCellMar>
      </w:tblPr>
      <w:tblGrid>
        <w:gridCol w:w="1399"/>
        <w:gridCol w:w="1138"/>
        <w:gridCol w:w="1145"/>
        <w:gridCol w:w="246"/>
        <w:gridCol w:w="543"/>
        <w:gridCol w:w="127"/>
        <w:gridCol w:w="127"/>
        <w:gridCol w:w="127"/>
        <w:gridCol w:w="127"/>
        <w:gridCol w:w="246"/>
        <w:gridCol w:w="543"/>
        <w:gridCol w:w="127"/>
        <w:gridCol w:w="127"/>
        <w:gridCol w:w="127"/>
        <w:gridCol w:w="127"/>
        <w:gridCol w:w="514"/>
        <w:gridCol w:w="916"/>
        <w:gridCol w:w="267"/>
        <w:gridCol w:w="127"/>
        <w:gridCol w:w="127"/>
        <w:gridCol w:w="127"/>
        <w:gridCol w:w="408"/>
        <w:gridCol w:w="367"/>
        <w:gridCol w:w="1076"/>
      </w:tblGrid>
      <w:tr>
        <w:trPr/>
        <w:tc>
          <w:tcPr>
            <w:tcW w:w="139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2024</w:t>
            </w:r>
            <w:r>
              <w:rPr>
                <w:rFonts w:ascii="Times New Roman;serif" w:hAnsi="Times New Roman;serif"/>
                <w:b/>
                <w:color w:val="000000"/>
                <w:sz w:val="13"/>
              </w:rPr>
              <w:t>(1)</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Increase (Decrease) ($)</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Increase (Decrease) (%)</w:t>
            </w:r>
          </w:p>
        </w:tc>
      </w:tr>
      <w:tr>
        <w:trPr/>
        <w:tc>
          <w:tcPr>
            <w:tcW w:w="368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CoStar</w:t>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LoopNet</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Commercial Real Estate</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Commercial Real Estate</w:t>
            </w:r>
          </w:p>
        </w:tc>
        <w:tc>
          <w:tcPr>
            <w:tcW w:w="7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7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7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(excluding customer base amortization)</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development</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base amortization</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7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7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6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7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w:t>
            </w:r>
          </w:p>
        </w:tc>
        <w:tc>
          <w:tcPr>
            <w:tcW w:w="9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88" w:before="0" w:after="4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We have recast certain prior period disclosures to align with the way we internally manage our business. See Note 2 of the Notes to the Condensed Consolidated Financial Statements included in Part I of this Report for additional information.</w:t>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ind w:left="0" w:right="0" w:firstLine="360"/>
        <w:jc w:val="both"/>
        <w:rPr/>
      </w:pPr>
      <w:r>
        <w:rPr>
          <w:rFonts w:ascii="Times New Roman;serif" w:hAnsi="Times New Roman;serif"/>
          <w:b w:val="false"/>
          <w:i/>
          <w:color w:val="000000"/>
          <w:sz w:val="20"/>
        </w:rPr>
        <w:t xml:space="preserve">Revenue. </w:t>
      </w:r>
      <w:r>
        <w:rPr>
          <w:rFonts w:ascii="Times New Roman;serif" w:hAnsi="Times New Roman;serif"/>
          <w:b w:val="false"/>
          <w:color w:val="000000"/>
          <w:sz w:val="20"/>
        </w:rPr>
        <w:t>Revenue increased by $103 million, or 15%, to $781 million, driven by the following:</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Commercial Real Estate revenue increased by $72 million, or 19%, to $446 million due to: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CoStar revenue of $24 million, or 8%, due to increased sales driven by inflation-based price increases on renewals and an increase in subscribers, as well as the Visual Lease Acquisition,</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LoopNet revenue of $6 million, or 9%, due to an increase in the average price per listing, as well as the number of listings,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Other Commercial Real Estate revenue of $42 million, or 233%, primarily due to the Matterport Acquisition.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Residential Real Estate revenue increased by $31 million, or 10%, to $335 million, primarily due to:</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an increase in the number of properties advertised on our network, partially offset by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 decrease due to the discontinuation of certain products that were inconsistent with our long-term business strategy.</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Gross Profit and Cost of Revenue</w:t>
      </w:r>
      <w:r>
        <w:rPr>
          <w:rFonts w:ascii="Times New Roman;serif" w:hAnsi="Times New Roman;serif"/>
          <w:b w:val="false"/>
          <w:color w:val="000000"/>
          <w:sz w:val="20"/>
        </w:rPr>
        <w:t>. Gross profit increased by $71 million, or 13%, to $613 million, and the gross profit margin decreased from 80% to 78%. The increase in gross profit was due to higher revenue, partially offset by an increase in cost of revenue. Cost of revenue increased by $32 million, or 24%, to $168 million and, as a percentage of revenue, increased from 20% to 22%. The increase in cost of revenue primarily included: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amortization expense for the acquired technology and trade names from the Matterport Acquisition,</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$8 million in costs related to sales of Matterport capture equipment and services,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personnel costs of $8 million related to additional headcount from the Matterport Acquisition,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of $3 million for web hosting costs.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Selling and Marketing (Excluding Customer Base Amortization) Expenses</w:t>
      </w:r>
      <w:r>
        <w:rPr>
          <w:rFonts w:ascii="Times New Roman;serif" w:hAnsi="Times New Roman;serif"/>
          <w:b w:val="false"/>
          <w:color w:val="000000"/>
          <w:sz w:val="20"/>
        </w:rPr>
        <w:t>. Selling and marketing (excluding customer base amortization) expenses increased by $37 million, or 10%, to $395 million and, as a percentage of revenue, decreased from 53% to 51%. The increase primarily included: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personnel costs related to sales hiring and the sales force from the Matterport Acquisition,</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occupancy and equipment costs of $4 million related to our sales force,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of $2 million in third-party sales commissions for Matterport products, partially offset by</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 decrease in marketing expenses of $13 million.</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Software Development Expenses</w:t>
      </w:r>
      <w:r>
        <w:rPr>
          <w:rFonts w:ascii="Times New Roman;serif" w:hAnsi="Times New Roman;serif"/>
          <w:b w:val="false"/>
          <w:color w:val="000000"/>
          <w:sz w:val="20"/>
        </w:rPr>
        <w:t>. Software development expenses increased by $16 million, or 20%, to $96 million and, as a percentage of revenue, were consistent at 12%. The increase primarily included: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personnel costs primarily due to additional headcount from the Matterport Acquisition, as well as costs for our existing employees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occupancy and equipment costs of $2 million.</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General and Administrative Expenses</w:t>
      </w:r>
      <w:r>
        <w:rPr>
          <w:rFonts w:ascii="Times New Roman;serif" w:hAnsi="Times New Roman;serif"/>
          <w:b w:val="false"/>
          <w:color w:val="000000"/>
          <w:sz w:val="20"/>
        </w:rPr>
        <w:t>. General and administrative expenses increased by $12 million, or 11%, to $122 million and, as a percentage of revenue, were consistent at 16%. The increase primarily included: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personnel and related costs, primarily due to additional headcount from the Matterport Acquisition, partially offset by</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 decrease in professional service fees of $9 million, primarily related to acquisition activities,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 decrease in occupancy and equipment costs of $3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ind w:left="0" w:right="0" w:firstLine="360"/>
        <w:jc w:val="both"/>
        <w:rPr/>
      </w:pPr>
      <w:r>
        <w:rPr>
          <w:rFonts w:ascii="Times New Roman;serif" w:hAnsi="Times New Roman;serif"/>
          <w:b w:val="false"/>
          <w:i/>
          <w:color w:val="000000"/>
          <w:sz w:val="20"/>
        </w:rPr>
        <w:t>Customer Base Amortization Expense</w:t>
      </w:r>
      <w:r>
        <w:rPr>
          <w:rFonts w:ascii="Times New Roman;serif" w:hAnsi="Times New Roman;serif"/>
          <w:b w:val="false"/>
          <w:color w:val="000000"/>
          <w:sz w:val="20"/>
        </w:rPr>
        <w:t>. Customer base amortization expense increased by $17 million, or 170%, to $27 million, and, as a percentage of revenue, increased from 1% to 3%. The increase was primarily due to the Matterport and Visual Lease Acquisitions.</w:t>
      </w:r>
    </w:p>
    <w:p>
      <w:pPr>
        <w:pStyle w:val="TextBody"/>
        <w:bidi w:val="0"/>
        <w:spacing w:lineRule="auto" w:line="268" w:before="0" w:after="200"/>
        <w:ind w:left="0" w:right="0" w:firstLine="360"/>
        <w:jc w:val="both"/>
        <w:rPr/>
      </w:pPr>
      <w:r>
        <w:rPr>
          <w:rFonts w:ascii="Times New Roman;serif" w:hAnsi="Times New Roman;serif"/>
          <w:b w:val="false"/>
          <w:i/>
          <w:color w:val="000000"/>
          <w:sz w:val="20"/>
        </w:rPr>
        <w:t>Interest Income, Net</w:t>
      </w:r>
      <w:r>
        <w:rPr>
          <w:rFonts w:ascii="Times New Roman;serif" w:hAnsi="Times New Roman;serif"/>
          <w:b w:val="false"/>
          <w:color w:val="000000"/>
          <w:sz w:val="20"/>
        </w:rPr>
        <w:t>. Interest income, net decreased by $21 million, or 39%, to $33 million. The decrease was primarily due to a decrease in our cash and cash equivalents.</w:t>
      </w:r>
    </w:p>
    <w:p>
      <w:pPr>
        <w:pStyle w:val="TextBody"/>
        <w:bidi w:val="0"/>
        <w:spacing w:lineRule="auto" w:line="268" w:before="0" w:after="200"/>
        <w:ind w:left="0" w:right="0" w:firstLine="360"/>
        <w:jc w:val="both"/>
        <w:rPr/>
      </w:pPr>
      <w:r>
        <w:rPr>
          <w:rFonts w:ascii="Times New Roman;serif" w:hAnsi="Times New Roman;serif"/>
          <w:b w:val="false"/>
          <w:i/>
          <w:color w:val="000000"/>
          <w:sz w:val="20"/>
        </w:rPr>
        <w:t>Other Income (Expense), Net.</w:t>
      </w:r>
      <w:r>
        <w:rPr>
          <w:color w:val="000000"/>
        </w:rPr>
        <w:t xml:space="preserve"> </w:t>
      </w:r>
      <w:r>
        <w:rPr>
          <w:rFonts w:ascii="Times New Roman;serif" w:hAnsi="Times New Roman;serif"/>
          <w:b w:val="false"/>
          <w:color w:val="000000"/>
          <w:sz w:val="20"/>
        </w:rPr>
        <w:t>Other income, net, was $16 million for the three months ended June 30, 2025, a change of $18 million from other expense, net of $2 million for the three months ended June 30, 2024. The change primarily included:</w:t>
      </w:r>
    </w:p>
    <w:p>
      <w:pPr>
        <w:pStyle w:val="TextBody"/>
        <w:bidi w:val="0"/>
        <w:spacing w:lineRule="auto" w:line="268" w:before="0" w:after="200"/>
        <w:ind w:left="0" w:right="0" w:hanging="360"/>
        <w:jc w:val="both"/>
        <w:rPr/>
      </w:pPr>
      <w:r>
        <w:rPr>
          <w:color w:val="000000"/>
        </w:rPr>
        <w:t>•</w:t>
      </w:r>
      <w:r>
        <w:rPr>
          <w:rFonts w:ascii="Times New Roman;serif" w:hAnsi="Times New Roman;serif"/>
          <w:b w:val="false"/>
          <w:color w:val="000000"/>
          <w:sz w:val="20"/>
        </w:rPr>
        <w:t>an unrealized gain on the deal-contingent forward U.S. dollar to Australian dollar contracts entered into in conjunction with the Domain Acquisition, and</w:t>
      </w:r>
    </w:p>
    <w:p>
      <w:pPr>
        <w:pStyle w:val="TextBody"/>
        <w:bidi w:val="0"/>
        <w:spacing w:lineRule="auto" w:line="268" w:before="0" w:after="200"/>
        <w:ind w:left="0" w:right="0" w:hanging="360"/>
        <w:jc w:val="both"/>
        <w:rPr/>
      </w:pPr>
      <w:r>
        <w:rPr>
          <w:color w:val="000000"/>
        </w:rPr>
        <w:t>•</w:t>
      </w:r>
      <w:r>
        <w:rPr>
          <w:rFonts w:ascii="Times New Roman;serif" w:hAnsi="Times New Roman;serif"/>
          <w:b w:val="false"/>
          <w:color w:val="000000"/>
          <w:sz w:val="20"/>
        </w:rPr>
        <w:t>an unrealized gain of $9 million related to the equity securities of Domain, partially offset by</w:t>
      </w:r>
    </w:p>
    <w:p>
      <w:pPr>
        <w:pStyle w:val="TextBody"/>
        <w:bidi w:val="0"/>
        <w:spacing w:lineRule="auto" w:line="268" w:before="0" w:after="200"/>
        <w:ind w:left="0" w:right="0" w:hanging="360"/>
        <w:jc w:val="both"/>
        <w:rPr/>
      </w:pPr>
      <w:r>
        <w:rPr>
          <w:color w:val="000000"/>
        </w:rPr>
        <w:t>•</w:t>
      </w:r>
      <w:r>
        <w:rPr>
          <w:rFonts w:ascii="Times New Roman;serif" w:hAnsi="Times New Roman;serif"/>
          <w:b w:val="false"/>
          <w:color w:val="000000"/>
          <w:sz w:val="20"/>
        </w:rPr>
        <w:t>an increase in depreciation and amortization expense from leasing activities driven by a change in the useful life of improvements related to tenants who have modified their leases.</w:t>
      </w:r>
    </w:p>
    <w:p>
      <w:pPr>
        <w:pStyle w:val="TextBody"/>
        <w:bidi w:val="0"/>
        <w:spacing w:lineRule="auto" w:line="268" w:before="0" w:after="0"/>
        <w:ind w:left="0" w:right="0" w:firstLine="360"/>
        <w:jc w:val="both"/>
        <w:rPr/>
      </w:pPr>
      <w:r>
        <w:rPr>
          <w:rFonts w:ascii="Times New Roman;serif" w:hAnsi="Times New Roman;serif"/>
          <w:b w:val="false"/>
          <w:i/>
          <w:color w:val="000000"/>
          <w:sz w:val="20"/>
        </w:rPr>
        <w:t>Income Tax Expense</w:t>
      </w:r>
      <w:r>
        <w:rPr>
          <w:rFonts w:ascii="Times New Roman;serif" w:hAnsi="Times New Roman;serif"/>
          <w:b w:val="false"/>
          <w:color w:val="000000"/>
          <w:sz w:val="20"/>
        </w:rPr>
        <w:t xml:space="preserve">. Income tax expense decreased by $1 million, or 6%, to $16 million, and the effective tax rate was 73% of income before income taxes for the three months ended June 30, 2025, compared to 47% of income before income taxes for the three months ended June 30, 2024. The decrease in income tax expense was primarily due to lower income before income taxes.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Business Segment Results for Three Months Ended June 30, 2026 Compared to Three Months Ended June 30, 2025</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manage our business by product portfolios in two operating segments, with the primary areas of measurement and decision-making being Commercial Real Estate and Residential Real Estate. Segment reporting is based on the management approach, whereby external segment reporting is aligned with the internal reporting used by the CODM, which is the Company’s Chief Executive Officer. The CODM relies on an internal management reporting process that provides operating segment revenue, EBITDA, and Adjusted EBITDA for making decisions and assessing performance as the source of the Company’s reportable segments. Adjusted EBITDA is used by management internally to measure operating and management performance and to evaluate the performance of the business. Operating results by segment include items that are directly attributable to each segment and also include shared expenses such as legal, including settlements and fines, corporate infrastructure and support costs, facilities, and IT expenses from our integrated platform. Shared expenses are primarily allocated based on revenue or headcount. There are no intersegment transactions. Refer to Note 2 and Note 12 of the Notes to the Condensed Consolidated Financial Statements included in Part I of this Report for additional information. See “Non-GAAP Financial Measures” for further information regarding our segment operating results.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Segment Adjusted EBITDA</w:t>
      </w:r>
      <w:r>
        <w:rPr>
          <w:rFonts w:ascii="Times New Roman;serif" w:hAnsi="Times New Roman;serif"/>
          <w:b w:val="false"/>
          <w:color w:val="000000"/>
          <w:sz w:val="20"/>
        </w:rPr>
        <w:t>. Commercial Real Estate Adjusted EBITDA increased by $11 million to $172 million. The increase was due to:</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increase in revenue discussed above, partially offset by,</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higher personnel costs, primarily due to higher costs related to headcount growth within existing brands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of $10 million in general and administrative expenses, primarily due to higher costs related to product web hosting, professional services, office supplies and occupancy all related to headcount increases in existing brands and to a lesser extent, incremental expenses from Matterport's post-acquisition operations.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Residential Real Estate Adjusted EBITDA improved by $88 million to $12 million. The improvement was due to:</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increase in revenue discussed above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 decrease of $2 million in marketing expenses, consisting of a decrease of $12 million from our existing brands and an increase of $10 million for Domain, partially offset by,</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of $19 million in general and administrative expenses for Domain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of $4 million in personnel and related costs, consisting of an increase of $28 million for Domain, partially offset by a decrease of $24 million for our existing brands.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Business Segment Results for Three Months Ended June 30, 2025 Compared to Three Months Ended June 30, 2024</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Segment Adjusted EBITDA</w:t>
      </w:r>
      <w:r>
        <w:rPr>
          <w:rFonts w:ascii="Times New Roman;serif" w:hAnsi="Times New Roman;serif"/>
          <w:b w:val="false"/>
          <w:color w:val="000000"/>
          <w:sz w:val="20"/>
        </w:rPr>
        <w:t>. Commercial Real Estate Adjusted EBITDA increased by $17 million to $161 million. The increase was due to:</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increase in revenue discussed above, partially offset by,</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higher personnel costs, primarily due to the Matterport and Visual Lease Acquisitions completed in February 2025 and November 2024, respectively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of $14 million in general and administrative expenses, primarily due to incremental expenses from Matterport's post-acquisition operations, including costs of product web hosting, sales of Matterport equipment, capture services, and third-party commissions.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Residential Real Estate Adjusted EBITDA improved by $27 million to a loss of $76 million. The improvement was due to the increase in revenue discussed above and a $16 million decrease in marketing expense, partially offset by an increase of $20 million in personnel cost due to the higher sales headcount from existing brands.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Six Months Ended June 30, 2026 Compared to Six Months Ended June 30, 2025</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comparison of our selected condensed consolidated results of operations for the six months ended June 30, 2026 and 2025 (in millions):</w:t>
      </w:r>
    </w:p>
    <w:tbl>
      <w:tblPr>
        <w:tblW w:w="10205" w:type="dxa"/>
        <w:jc w:val="left"/>
        <w:tblInd w:w="0" w:type="dxa"/>
        <w:tblLayout w:type="fixed"/>
        <w:tblCellMar>
          <w:top w:w="28" w:type="dxa"/>
          <w:left w:w="28" w:type="dxa"/>
          <w:bottom w:w="28" w:type="dxa"/>
          <w:right w:w="28" w:type="dxa"/>
        </w:tblCellMar>
      </w:tblPr>
      <w:tblGrid>
        <w:gridCol w:w="1511"/>
        <w:gridCol w:w="1289"/>
        <w:gridCol w:w="1297"/>
        <w:gridCol w:w="211"/>
        <w:gridCol w:w="466"/>
        <w:gridCol w:w="109"/>
        <w:gridCol w:w="109"/>
        <w:gridCol w:w="109"/>
        <w:gridCol w:w="109"/>
        <w:gridCol w:w="211"/>
        <w:gridCol w:w="466"/>
        <w:gridCol w:w="109"/>
        <w:gridCol w:w="109"/>
        <w:gridCol w:w="109"/>
        <w:gridCol w:w="109"/>
        <w:gridCol w:w="532"/>
        <w:gridCol w:w="911"/>
        <w:gridCol w:w="277"/>
        <w:gridCol w:w="109"/>
        <w:gridCol w:w="109"/>
        <w:gridCol w:w="109"/>
        <w:gridCol w:w="373"/>
        <w:gridCol w:w="373"/>
        <w:gridCol w:w="1089"/>
      </w:tblGrid>
      <w:tr>
        <w:trPr/>
        <w:tc>
          <w:tcPr>
            <w:tcW w:w="1511"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4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Increase (Decrease)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Increase (Decrease) (%)</w:t>
            </w:r>
          </w:p>
        </w:tc>
      </w:tr>
      <w:tr>
        <w:trPr/>
        <w:tc>
          <w:tcPr>
            <w:tcW w:w="409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CoStar</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LoopNet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Commercial Real Estate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Commercial Real Estate</w:t>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(excluding customer base amortization)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development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base amortization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09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net </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0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0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0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w:t>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16"/>
              </w:rPr>
            </w:pPr>
            <w:r>
              <w:rPr>
                <w:rFonts w:ascii="Times New Roman;serif" w:hAnsi="Times New Roman;serif"/>
                <w:b w:val="false"/>
                <w:color w:val="000000"/>
                <w:sz w:val="16"/>
              </w:rPr>
              <w:t>NM - Not meaningful</w:t>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r>
      <w:tr>
        <w:trPr/>
        <w:tc>
          <w:tcPr>
            <w:tcW w:w="409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200"/>
        <w:ind w:left="0" w:right="0" w:firstLine="360"/>
        <w:jc w:val="both"/>
        <w:rPr/>
      </w:pPr>
      <w:r>
        <w:rPr>
          <w:rFonts w:ascii="Times New Roman;serif" w:hAnsi="Times New Roman;serif"/>
          <w:b w:val="false"/>
          <w:i/>
          <w:color w:val="000000"/>
          <w:sz w:val="20"/>
        </w:rPr>
        <w:t xml:space="preserve">Revenue. </w:t>
      </w:r>
      <w:r>
        <w:rPr>
          <w:rFonts w:ascii="Times New Roman;serif" w:hAnsi="Times New Roman;serif"/>
          <w:b w:val="false"/>
          <w:color w:val="000000"/>
          <w:sz w:val="20"/>
        </w:rPr>
        <w:t>Revenue increased by $309 million, or 20%, to $1.8 billion, driven by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Commercial Real Estate revenue increased by $98 million, or 11%, to $953 million due to: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CoStar revenue of $53 million, or 9%, due to an increase in subscribers, inflation-based price increases, and additional sales of STR Benchmarking,</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LoopNet revenue of $23 million, or 15%, due to an increase in the number of listings, as well as an increase in the average price per listing and the Domain Acquisition completed in August 2025,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Other Commercial Real Estate revenue of $22 million, or 24%, primarily due to the Matterport Acquisition completed in February 2025, partially offset by lower transaction volume on Ten-X.</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Residential Real Estate revenue increased by $211 million, or 32%, to $869 million, primarily due to:</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$131 million of revenue from the Domain Acquisition completed in August 2025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the number of memberships and properties advertised on our network, partially offset by a reduction in average price.</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Gross Profit and Cost of Revenue</w:t>
      </w:r>
      <w:r>
        <w:rPr>
          <w:rFonts w:ascii="Times New Roman;serif" w:hAnsi="Times New Roman;serif"/>
          <w:b w:val="false"/>
          <w:color w:val="000000"/>
          <w:sz w:val="20"/>
        </w:rPr>
        <w:t>. Gross profit increased by $237 million, or 20%, to $1.4 billion, and the gross profit margin decreased from 79% to 78%. The increase in gross profit was due to higher revenue, partially offset by an increase in cost of revenue. Cost of revenue increased $72 million, or 22%, to $393 million and, as a percentage of revenue, increased from 21% to 22%. The increase in cost of revenue primarily included: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amortization expense for the acquired technology and trade names from the Matterport Acquisition and Domain Acquisition,</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personnel costs of $12 million related to additional headcount from the Matterport Acquisition and Domain Acquisition, partially offset by lower headcount in existing brands,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an increase in software and equipment costs of $9 million, primarily driven by web hosting costs from the Domain and Matterport Acquisitions, and to a lesser extent, increased spending within existing brands,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data and content expense of $9 million, largely due to the Domain Acquisition,</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office supplies expense of $5 million driven by the increased headcount from the Domain Acquisition,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 increase of $4 million in credit card processing fees, and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increase of $2 million in costs related to sales of digital twin capture equipment and services attributable to the Matterport Acquisition completed in February 2025.</w:t>
      </w:r>
    </w:p>
    <w:p>
      <w:pPr>
        <w:pStyle w:val="TextBody"/>
        <w:bidi w:val="0"/>
        <w:spacing w:before="0" w:after="0"/>
        <w:jc w:val="left"/>
        <w:rPr/>
      </w:pPr>
      <w:r>
        <w:rPr/>
      </w:r>
    </w:p>
    <w:p>
      <w:pPr>
        <w:pStyle w:val="TextBody"/>
        <w:bidi w:val="0"/>
        <w:spacing w:lineRule="auto" w:line="288" w:before="0" w:after="200"/>
        <w:ind w:left="0" w:right="0" w:firstLine="360"/>
        <w:jc w:val="both"/>
        <w:rPr/>
      </w:pPr>
      <w:r>
        <w:rPr>
          <w:rFonts w:ascii="Times New Roman;serif" w:hAnsi="Times New Roman;serif"/>
          <w:b w:val="false"/>
          <w:i/>
          <w:color w:val="000000"/>
          <w:sz w:val="20"/>
        </w:rPr>
        <w:t>Selling and Marketing (Excluding Customer Base Amortization) Expenses</w:t>
      </w:r>
      <w:r>
        <w:rPr>
          <w:rFonts w:ascii="Times New Roman;serif" w:hAnsi="Times New Roman;serif"/>
          <w:b w:val="false"/>
          <w:color w:val="000000"/>
          <w:sz w:val="20"/>
        </w:rPr>
        <w:t>. Selling and marketing (excluding customer base amortization) expenses increased by $52 million, or 7%, to $816 million and, as a percentage of revenue, decreased from 50% to 45%. The increase primarily included:</w:t>
      </w:r>
    </w:p>
    <w:p>
      <w:pPr>
        <w:pStyle w:val="TextBody"/>
        <w:bidi w:val="0"/>
        <w:spacing w:lineRule="auto" w:line="288" w:before="0" w:after="200"/>
        <w:ind w:left="0" w:right="0" w:hanging="360"/>
        <w:jc w:val="both"/>
        <w:rPr/>
      </w:pPr>
      <w:r>
        <w:rPr>
          <w:color w:val="000000"/>
          <w:shd w:fill="FFFFFF" w:val="clear"/>
        </w:rPr>
        <w:t>•</w:t>
      </w:r>
      <w:r>
        <w:rPr>
          <w:rFonts w:ascii="Times New Roman;serif" w:hAnsi="Times New Roman;serif"/>
          <w:b w:val="false"/>
          <w:color w:val="000000"/>
          <w:sz w:val="20"/>
        </w:rPr>
        <w:t xml:space="preserve">an increase in personnel costs, primarily related to sales hiring and the sales force from the Domain Acquisition,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an increase in marketing expense of $11 million for advertising of our brands,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conference expenses of $4 million related to increased sales force,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of $3 million in occupancy-related expense driven mostly by the Domain Acquisition, partially offset by</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 decrease of $3 million in relocation expense and professional services expense.</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Software Development Expenses</w:t>
      </w:r>
      <w:r>
        <w:rPr>
          <w:rFonts w:ascii="Times New Roman;serif" w:hAnsi="Times New Roman;serif"/>
          <w:b w:val="false"/>
          <w:color w:val="000000"/>
          <w:sz w:val="20"/>
        </w:rPr>
        <w:t>. Software development expenses increased by $30 million, or 16%, to $221 million and, as a percentage of revenue, decreased from 13% to 12%. The increase primarily included: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personnel costs, primarily due to additional headcount from the Domain Acquisition,</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an increase in software expense of $5 million, primarily related to increased spend on AI software,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professional services expenses of $2 million associated with Domain operations,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depreciation expense of $1 million driven by the additional headcount.</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General and Administrative Expenses</w:t>
      </w:r>
      <w:r>
        <w:rPr>
          <w:rFonts w:ascii="Times New Roman;serif" w:hAnsi="Times New Roman;serif"/>
          <w:b w:val="false"/>
          <w:color w:val="000000"/>
          <w:sz w:val="20"/>
        </w:rPr>
        <w:t>. General and administrative expenses decreased by $23 million, or 9%, to $240 million and, as a percentage of revenue, decreased from 17% to 13%. The decrease primarily included:</w:t>
      </w:r>
    </w:p>
    <w:p>
      <w:pPr>
        <w:pStyle w:val="TextBody"/>
        <w:bidi w:val="0"/>
        <w:spacing w:lineRule="auto" w:line="268" w:before="0" w:after="200"/>
        <w:ind w:left="0" w:right="0" w:hanging="360"/>
        <w:jc w:val="both"/>
        <w:rPr/>
      </w:pPr>
      <w:r>
        <w:rPr>
          <w:color w:val="000000"/>
        </w:rPr>
        <w:t>•</w:t>
      </w:r>
      <w:r>
        <w:rPr>
          <w:rFonts w:ascii="Times New Roman;serif" w:hAnsi="Times New Roman;serif"/>
          <w:b w:val="false"/>
          <w:color w:val="000000"/>
          <w:sz w:val="20"/>
        </w:rPr>
        <w:t xml:space="preserve">a gain from recoveries related to the Brown Judgment received during the quarter, and </w:t>
      </w:r>
    </w:p>
    <w:p>
      <w:pPr>
        <w:pStyle w:val="TextBody"/>
        <w:bidi w:val="0"/>
        <w:spacing w:lineRule="auto" w:line="268" w:before="0" w:after="200"/>
        <w:ind w:left="0" w:right="0" w:hanging="360"/>
        <w:jc w:val="both"/>
        <w:rPr/>
      </w:pPr>
      <w:r>
        <w:rPr>
          <w:color w:val="000000"/>
        </w:rPr>
        <w:t>•</w:t>
      </w:r>
      <w:r>
        <w:rPr>
          <w:rFonts w:ascii="Times New Roman;serif" w:hAnsi="Times New Roman;serif"/>
          <w:b w:val="false"/>
          <w:color w:val="000000"/>
          <w:sz w:val="20"/>
        </w:rPr>
        <w:t>a decrease in professional services fees of $20 million, primarily driven by lower acquisition-related professional fees and lower legal-related expenses from defending our intellectual property, partially offset by</w:t>
      </w:r>
    </w:p>
    <w:p>
      <w:pPr>
        <w:pStyle w:val="TextBody"/>
        <w:bidi w:val="0"/>
        <w:spacing w:lineRule="auto" w:line="268" w:before="0" w:after="200"/>
        <w:ind w:left="0" w:right="0" w:hanging="360"/>
        <w:jc w:val="both"/>
        <w:rPr/>
      </w:pPr>
      <w:r>
        <w:rPr>
          <w:color w:val="000000"/>
        </w:rPr>
        <w:t>•</w:t>
      </w:r>
      <w:r>
        <w:rPr>
          <w:rFonts w:ascii="Times New Roman;serif" w:hAnsi="Times New Roman;serif"/>
          <w:b w:val="false"/>
          <w:color w:val="000000"/>
          <w:sz w:val="20"/>
        </w:rPr>
        <w:t>an increase in software and equipment costs of $12 million, primarily driven by the Domain Acquisition, and</w:t>
      </w:r>
    </w:p>
    <w:p>
      <w:pPr>
        <w:pStyle w:val="TextBody"/>
        <w:bidi w:val="0"/>
        <w:spacing w:lineRule="auto" w:line="268" w:before="0" w:after="200"/>
        <w:ind w:left="0" w:right="0" w:hanging="360"/>
        <w:jc w:val="both"/>
        <w:rPr/>
      </w:pPr>
      <w:r>
        <w:rPr>
          <w:color w:val="000000"/>
        </w:rPr>
        <w:t>•</w:t>
      </w:r>
      <w:r>
        <w:rPr>
          <w:rFonts w:ascii="Times New Roman;serif" w:hAnsi="Times New Roman;serif"/>
          <w:b w:val="false"/>
          <w:color w:val="000000"/>
          <w:sz w:val="20"/>
        </w:rPr>
        <w:t>an increase in personnel costs of $3 million, mostly driven by the Domain Acquisition, partially offset by a decrease in Matterport-related personnel costs resulting from accelerated stock-based compensation recognized for certain Matterport employees in the prior-year period.</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Customer Base Amortization Expense</w:t>
      </w:r>
      <w:r>
        <w:rPr>
          <w:rFonts w:ascii="Times New Roman;serif" w:hAnsi="Times New Roman;serif"/>
          <w:b w:val="false"/>
          <w:color w:val="000000"/>
          <w:sz w:val="20"/>
        </w:rPr>
        <w:t>. Customer base amortization expense increased by $29 million, or 66%, to $73 million and, as a percentage of revenue, increased from 3% to 4%. The increase was primarily due to amortization associated with intangible assets acquired in the Domain Acquisition, partially offset by lower amortization expense of $4 million resulting from Visual Lease, STR, and OnTheMarket.</w:t>
      </w:r>
    </w:p>
    <w:p>
      <w:pPr>
        <w:pStyle w:val="TextBody"/>
        <w:bidi w:val="0"/>
        <w:spacing w:lineRule="auto" w:line="268" w:before="0" w:after="200"/>
        <w:ind w:left="0" w:right="0" w:firstLine="360"/>
        <w:jc w:val="both"/>
        <w:rPr/>
      </w:pPr>
      <w:r>
        <w:rPr>
          <w:rFonts w:ascii="Times New Roman;serif" w:hAnsi="Times New Roman;serif"/>
          <w:b w:val="false"/>
          <w:i/>
          <w:color w:val="000000"/>
          <w:sz w:val="20"/>
        </w:rPr>
        <w:t>Interest Income, Net</w:t>
      </w:r>
      <w:r>
        <w:rPr>
          <w:rFonts w:ascii="Times New Roman;serif" w:hAnsi="Times New Roman;serif"/>
          <w:b w:val="false"/>
          <w:color w:val="000000"/>
          <w:sz w:val="20"/>
        </w:rPr>
        <w:t>. Interest income, net decreased by $63 million, or 89%, to $8 million. The decrease was primarily due to a decrease in our cash and cash equivalents, as well as $9 million of interest expense recognized during the current period related to the Brown Judgment.</w:t>
      </w:r>
    </w:p>
    <w:p>
      <w:pPr>
        <w:pStyle w:val="TextBody"/>
        <w:bidi w:val="0"/>
        <w:spacing w:lineRule="auto" w:line="268" w:before="0" w:after="200"/>
        <w:ind w:left="0" w:right="0" w:firstLine="360"/>
        <w:jc w:val="both"/>
        <w:rPr/>
      </w:pPr>
      <w:r>
        <w:rPr>
          <w:rFonts w:ascii="Times New Roman;serif" w:hAnsi="Times New Roman;serif"/>
          <w:b w:val="false"/>
          <w:i/>
          <w:color w:val="000000"/>
          <w:sz w:val="20"/>
        </w:rPr>
        <w:t>Other Income (Expense), Net.</w:t>
      </w:r>
      <w:r>
        <w:rPr>
          <w:color w:val="000000"/>
        </w:rPr>
        <w:t xml:space="preserve"> </w:t>
      </w:r>
      <w:r>
        <w:rPr>
          <w:rFonts w:ascii="Times New Roman;serif" w:hAnsi="Times New Roman;serif"/>
          <w:b w:val="false"/>
          <w:color w:val="000000"/>
          <w:sz w:val="20"/>
        </w:rPr>
        <w:t>Other expense, net was $1 million for the six months ended June 30, 2026, a change of $15 million from other income, net of $14 million for the six months ended June 30, 2025. The change in expense primarily included:</w:t>
      </w:r>
    </w:p>
    <w:p>
      <w:pPr>
        <w:pStyle w:val="TextBody"/>
        <w:bidi w:val="0"/>
        <w:spacing w:lineRule="auto" w:line="268" w:before="0" w:after="200"/>
        <w:ind w:left="0" w:right="0" w:hanging="360"/>
        <w:jc w:val="both"/>
        <w:rPr/>
      </w:pPr>
      <w:r>
        <w:rPr>
          <w:color w:val="000000"/>
        </w:rPr>
        <w:t>•</w:t>
      </w:r>
      <w:r>
        <w:rPr>
          <w:rFonts w:ascii="Times New Roman;serif" w:hAnsi="Times New Roman;serif"/>
          <w:b w:val="false"/>
          <w:color w:val="000000"/>
          <w:sz w:val="20"/>
        </w:rPr>
        <w:t>an unrealized gain on the deal-contingent forward U.S. dollar to Australian dollar contracts entered into in conjunction with the Domain Acquisition in the prior-year period, and</w:t>
      </w:r>
    </w:p>
    <w:p>
      <w:pPr>
        <w:pStyle w:val="TextBody"/>
        <w:bidi w:val="0"/>
        <w:spacing w:lineRule="auto" w:line="268" w:before="0" w:after="200"/>
        <w:ind w:left="0" w:right="0" w:hanging="360"/>
        <w:jc w:val="both"/>
        <w:rPr/>
      </w:pPr>
      <w:r>
        <w:rPr>
          <w:color w:val="000000"/>
        </w:rPr>
        <w:t>•</w:t>
      </w:r>
      <w:r>
        <w:rPr>
          <w:rFonts w:ascii="Times New Roman;serif" w:hAnsi="Times New Roman;serif"/>
          <w:b w:val="false"/>
          <w:color w:val="000000"/>
          <w:sz w:val="20"/>
        </w:rPr>
        <w:t>an unrealized gain of $12 million recognized in the prior-year period related to the equity securities of Domain, partially offset by</w:t>
      </w:r>
    </w:p>
    <w:p>
      <w:pPr>
        <w:pStyle w:val="TextBody"/>
        <w:bidi w:val="0"/>
        <w:spacing w:lineRule="auto" w:line="268" w:before="0" w:after="200"/>
        <w:ind w:left="0" w:right="0" w:hanging="360"/>
        <w:jc w:val="both"/>
        <w:rPr/>
      </w:pPr>
      <w:r>
        <w:rPr>
          <w:color w:val="000000"/>
        </w:rPr>
        <w:t>•</w:t>
      </w:r>
      <w:r>
        <w:rPr>
          <w:rFonts w:ascii="Times New Roman;serif" w:hAnsi="Times New Roman;serif"/>
          <w:b w:val="false"/>
          <w:color w:val="000000"/>
          <w:sz w:val="20"/>
        </w:rPr>
        <w:t>a decrease of $5 million in depreciation and amortization expense from leasing activities driven by a change in the useful life of improvements related to tenants who have modified their leases.</w:t>
      </w:r>
    </w:p>
    <w:p>
      <w:pPr>
        <w:pStyle w:val="TextBody"/>
        <w:bidi w:val="0"/>
        <w:spacing w:lineRule="auto" w:line="268" w:before="0" w:after="0"/>
        <w:ind w:left="0" w:right="0" w:firstLine="360"/>
        <w:jc w:val="both"/>
        <w:rPr/>
      </w:pPr>
      <w:r>
        <w:rPr>
          <w:rFonts w:ascii="Times New Roman;serif" w:hAnsi="Times New Roman;serif"/>
          <w:b w:val="false"/>
          <w:i/>
          <w:color w:val="000000"/>
          <w:sz w:val="20"/>
        </w:rPr>
        <w:t>Income Tax Expense</w:t>
      </w:r>
      <w:r>
        <w:rPr>
          <w:rFonts w:ascii="Times New Roman;serif" w:hAnsi="Times New Roman;serif"/>
          <w:b w:val="false"/>
          <w:color w:val="000000"/>
          <w:sz w:val="20"/>
        </w:rPr>
        <w:t>. Income tax expense increased by $4 million, or 17%, to $28 million and the effective tax rate was 33% of income before income taxes for the six months ended June 30, 2026, compared to 160% of income before income taxes for the six months ended June 30, 2025. The increase in income tax expense was primarily due to higher income before income taxes.</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Six Months Ended June 30, 2025 Compared to Six Months Ended June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comparison of our selected condensed consolidated results of operations for the six months ended June 30, 2025 and 2024 (in millions):</w:t>
      </w:r>
    </w:p>
    <w:tbl>
      <w:tblPr>
        <w:tblW w:w="10205" w:type="dxa"/>
        <w:jc w:val="left"/>
        <w:tblInd w:w="0" w:type="dxa"/>
        <w:tblLayout w:type="fixed"/>
        <w:tblCellMar>
          <w:top w:w="28" w:type="dxa"/>
          <w:left w:w="28" w:type="dxa"/>
          <w:bottom w:w="28" w:type="dxa"/>
          <w:right w:w="28" w:type="dxa"/>
        </w:tblCellMar>
      </w:tblPr>
      <w:tblGrid>
        <w:gridCol w:w="1399"/>
        <w:gridCol w:w="1138"/>
        <w:gridCol w:w="1145"/>
        <w:gridCol w:w="246"/>
        <w:gridCol w:w="543"/>
        <w:gridCol w:w="127"/>
        <w:gridCol w:w="127"/>
        <w:gridCol w:w="127"/>
        <w:gridCol w:w="127"/>
        <w:gridCol w:w="246"/>
        <w:gridCol w:w="543"/>
        <w:gridCol w:w="127"/>
        <w:gridCol w:w="127"/>
        <w:gridCol w:w="127"/>
        <w:gridCol w:w="127"/>
        <w:gridCol w:w="514"/>
        <w:gridCol w:w="916"/>
        <w:gridCol w:w="267"/>
        <w:gridCol w:w="127"/>
        <w:gridCol w:w="127"/>
        <w:gridCol w:w="127"/>
        <w:gridCol w:w="408"/>
        <w:gridCol w:w="367"/>
        <w:gridCol w:w="1076"/>
      </w:tblGrid>
      <w:tr>
        <w:trPr/>
        <w:tc>
          <w:tcPr>
            <w:tcW w:w="139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2024</w:t>
            </w:r>
            <w:r>
              <w:rPr>
                <w:rFonts w:ascii="Times New Roman;serif" w:hAnsi="Times New Roman;serif"/>
                <w:b/>
                <w:color w:val="000000"/>
                <w:sz w:val="13"/>
              </w:rPr>
              <w:t>(1)</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Increase (Decrease) ($)</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Increase (Decrease) (%)</w:t>
            </w:r>
          </w:p>
        </w:tc>
      </w:tr>
      <w:tr>
        <w:trPr/>
        <w:tc>
          <w:tcPr>
            <w:tcW w:w="36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CoStar</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LoopNet</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Commercial Real Estate</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Commercial Real Estate</w:t>
            </w:r>
          </w:p>
        </w:tc>
        <w:tc>
          <w:tcPr>
            <w:tcW w:w="7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7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1,513 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1,334 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7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(excluding customer base amortization)</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development</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base amortization</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7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1,262 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7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net </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6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7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6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w:t>
            </w:r>
          </w:p>
        </w:tc>
        <w:tc>
          <w:tcPr>
            <w:tcW w:w="9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4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We have recast certain prior period disclosures to align with the way we internally manage our business. See Note 2 of the Notes to the Condensed Consolidated Financial Statements included in Part I of this Report for additional information.</w:t>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16"/>
              </w:rPr>
            </w:pPr>
            <w:r>
              <w:rPr>
                <w:rFonts w:ascii="Times New Roman;serif" w:hAnsi="Times New Roman;serif"/>
                <w:b w:val="false"/>
                <w:color w:val="000000"/>
                <w:sz w:val="16"/>
              </w:rPr>
              <w:t>NM - Not meaningful</w:t>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851" w:type="dxa"/>
            <w:gridSpan w:val="3"/>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8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200"/>
        <w:ind w:left="0" w:right="0" w:firstLine="360"/>
        <w:jc w:val="both"/>
        <w:rPr/>
      </w:pPr>
      <w:r>
        <w:rPr>
          <w:rFonts w:ascii="Times New Roman;serif" w:hAnsi="Times New Roman;serif"/>
          <w:b w:val="false"/>
          <w:i/>
          <w:color w:val="000000"/>
          <w:sz w:val="20"/>
        </w:rPr>
        <w:t xml:space="preserve">Revenue. </w:t>
      </w:r>
      <w:r>
        <w:rPr>
          <w:rFonts w:ascii="Times New Roman;serif" w:hAnsi="Times New Roman;serif"/>
          <w:b w:val="false"/>
          <w:color w:val="000000"/>
          <w:sz w:val="20"/>
        </w:rPr>
        <w:t>Revenue increased by $179 million, or 13%, to $1.5 billion, driven by the following:</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Commercial Real Estate revenue increased by $112 million, or 15%, to $855 million due to: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CoStar revenue of $46 million, or 8%, due to an increase in subscribers, inflation-based price increases, and the Visual Lease Acquisition,</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LoopNet revenue of $10 million, or 7%, due to an increase in the number of listings, as well as an increase in the average price per listing,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Other Commercial Real Estate revenue of $56 million, or 160%, primarily due to the Matterport Acquisition.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Residential Real Estate revenue increased by $67 million, or 11%, to $658 million, primarily due to:</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an increase in the number of properties advertised on our network, as well as customers selecting higher-priced ad packages, partially offset by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 decrease due to the discontinuation of certain products that were inconsistent with our long-term business strategy.</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Gross Profit and Cost of Revenue</w:t>
      </w:r>
      <w:r>
        <w:rPr>
          <w:rFonts w:ascii="Times New Roman;serif" w:hAnsi="Times New Roman;serif"/>
          <w:b w:val="false"/>
          <w:color w:val="000000"/>
          <w:sz w:val="20"/>
        </w:rPr>
        <w:t xml:space="preserve">. Gross profit increased by $135 million, or 13%, to $1.2 billion, and the gross profit margin was consistent at 79%. The increase in gross profit was due to higher revenue, partially offset by an increase in cost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revenue. Cost of revenue increased by $44 million, or 16%, to $321 million and, as a percentage of revenue, was consistent at 21%. The increase in cost of revenue primarily included: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amortization expense for the acquired technology and trade names from the Matterport Acquisition,</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$11 million in costs related to sales of Matterport capture equipment and services,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personnel costs of $11 million related to the Matterport Acquisition,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of $6 million for web hosting costs.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Selling and Marketing (Excluding Customer Base Amortization) Expenses</w:t>
      </w:r>
      <w:r>
        <w:rPr>
          <w:rFonts w:ascii="Times New Roman;serif" w:hAnsi="Times New Roman;serif"/>
          <w:b w:val="false"/>
          <w:color w:val="000000"/>
          <w:sz w:val="20"/>
        </w:rPr>
        <w:t>. Selling and marketing (excluding customer base amortization) expenses increased by $40 million, or 6%, to $764 million and, as a percentage of revenue, decreased from 54% to 50%. The increase primarily included:</w:t>
      </w:r>
    </w:p>
    <w:p>
      <w:pPr>
        <w:pStyle w:val="TextBody"/>
        <w:bidi w:val="0"/>
        <w:spacing w:lineRule="auto" w:line="288" w:before="0" w:after="200"/>
        <w:ind w:left="0" w:right="0" w:hanging="360"/>
        <w:jc w:val="both"/>
        <w:rPr/>
      </w:pPr>
      <w:r>
        <w:rPr>
          <w:color w:val="000000"/>
          <w:shd w:fill="FFFFFF" w:val="clear"/>
        </w:rPr>
        <w:t>•</w:t>
      </w:r>
      <w:r>
        <w:rPr>
          <w:rFonts w:ascii="Times New Roman;serif" w:hAnsi="Times New Roman;serif"/>
          <w:b w:val="false"/>
          <w:color w:val="000000"/>
          <w:sz w:val="20"/>
        </w:rPr>
        <w:t xml:space="preserve">an increase in personnel costs related to sales hiring and the sales force from the Matterport Acquisition,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occupancy and equipment costs of $7 million related to our sales force,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travel costs of $5 million for training and customer engagement,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of $2 million related to third-party sales commissions, partially offset by</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 decrease in marketing expenses of $37 million.</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Software Development Expenses</w:t>
      </w:r>
      <w:r>
        <w:rPr>
          <w:rFonts w:ascii="Times New Roman;serif" w:hAnsi="Times New Roman;serif"/>
          <w:b w:val="false"/>
          <w:color w:val="000000"/>
          <w:sz w:val="20"/>
        </w:rPr>
        <w:t>. Software development expenses increased by $29 million, or 18%, to $191 million and, as a percentage of revenue, increased from 12% to 13%. The increase primarily included: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personnel costs due to additional headcount from the Matterport Acquisition, as well as costs for our existing employees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occupancy and equipment costs of $2 million.</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General and Administrative Expenses</w:t>
      </w:r>
      <w:r>
        <w:rPr>
          <w:rFonts w:ascii="Times New Roman;serif" w:hAnsi="Times New Roman;serif"/>
          <w:b w:val="false"/>
          <w:color w:val="000000"/>
          <w:sz w:val="20"/>
        </w:rPr>
        <w:t>. General and administrative expenses increased by $54 million, or 26%, to $263 million and, as a percentage of revenue, increased from 16% to 17%. The increase primarily included:</w:t>
      </w:r>
    </w:p>
    <w:p>
      <w:pPr>
        <w:pStyle w:val="TextBody"/>
        <w:bidi w:val="0"/>
        <w:spacing w:lineRule="auto" w:line="268" w:before="0" w:after="200"/>
        <w:ind w:left="0" w:right="0" w:hanging="360"/>
        <w:jc w:val="both"/>
        <w:rPr/>
      </w:pPr>
      <w:r>
        <w:rPr>
          <w:color w:val="000000"/>
        </w:rPr>
        <w:t>•</w:t>
      </w:r>
      <w:r>
        <w:rPr>
          <w:rFonts w:ascii="Times New Roman;serif" w:hAnsi="Times New Roman;serif"/>
          <w:b w:val="false"/>
          <w:color w:val="000000"/>
          <w:sz w:val="20"/>
        </w:rPr>
        <w:t>an increase in personnel and related costs, primarily related to additional headcount from the Matterport Acquisition, as well as an increase in costs for our existing employees,</w:t>
      </w:r>
    </w:p>
    <w:p>
      <w:pPr>
        <w:pStyle w:val="TextBody"/>
        <w:bidi w:val="0"/>
        <w:spacing w:lineRule="auto" w:line="268" w:before="0" w:after="200"/>
        <w:ind w:left="0" w:right="0" w:hanging="360"/>
        <w:jc w:val="both"/>
        <w:rPr/>
      </w:pPr>
      <w:r>
        <w:rPr>
          <w:color w:val="000000"/>
        </w:rPr>
        <w:t>•</w:t>
      </w:r>
      <w:r>
        <w:rPr>
          <w:rFonts w:ascii="Times New Roman;serif" w:hAnsi="Times New Roman;serif"/>
          <w:b w:val="false"/>
          <w:color w:val="000000"/>
          <w:sz w:val="20"/>
        </w:rPr>
        <w:t>an increase in professional service fees of $16 million, primarily related to acquisition activities and costs to defend our intellectual property, and</w:t>
      </w:r>
    </w:p>
    <w:p>
      <w:pPr>
        <w:pStyle w:val="TextBody"/>
        <w:bidi w:val="0"/>
        <w:spacing w:lineRule="auto" w:line="268" w:before="0" w:after="200"/>
        <w:ind w:left="0" w:right="0" w:hanging="360"/>
        <w:jc w:val="both"/>
        <w:rPr/>
      </w:pPr>
      <w:r>
        <w:rPr>
          <w:color w:val="000000"/>
        </w:rPr>
        <w:t>•</w:t>
      </w:r>
      <w:r>
        <w:rPr>
          <w:rFonts w:ascii="Times New Roman;serif" w:hAnsi="Times New Roman;serif"/>
          <w:b w:val="false"/>
          <w:color w:val="000000"/>
          <w:sz w:val="20"/>
        </w:rPr>
        <w:t>an increase of $7 million in costs of intellectual property disputes.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Customer Base Amortization Expense</w:t>
      </w:r>
      <w:r>
        <w:rPr>
          <w:rFonts w:ascii="Times New Roman;serif" w:hAnsi="Times New Roman;serif"/>
          <w:b w:val="false"/>
          <w:color w:val="000000"/>
          <w:sz w:val="20"/>
        </w:rPr>
        <w:t>. Customer base amortization expense increased by $23 million, or 110%, to $44 million and, as a percentage of revenue, increased from 2% to 3%. The increase was primarily due to the Matterport Acquisition and the Visual Lease Acquisition.</w:t>
      </w:r>
    </w:p>
    <w:p>
      <w:pPr>
        <w:pStyle w:val="TextBody"/>
        <w:bidi w:val="0"/>
        <w:spacing w:lineRule="auto" w:line="268" w:before="0" w:after="200"/>
        <w:ind w:left="0" w:right="0" w:firstLine="360"/>
        <w:jc w:val="both"/>
        <w:rPr/>
      </w:pPr>
      <w:r>
        <w:rPr>
          <w:rFonts w:ascii="Times New Roman;serif" w:hAnsi="Times New Roman;serif"/>
          <w:b w:val="false"/>
          <w:i/>
          <w:color w:val="000000"/>
          <w:sz w:val="20"/>
        </w:rPr>
        <w:t>Interest Income, Net</w:t>
      </w:r>
      <w:r>
        <w:rPr>
          <w:rFonts w:ascii="Times New Roman;serif" w:hAnsi="Times New Roman;serif"/>
          <w:b w:val="false"/>
          <w:color w:val="000000"/>
          <w:sz w:val="20"/>
        </w:rPr>
        <w:t>. Interest income, net decreased by $39 million, or 35%, to $71 million. The decrease was primarily due to a decrease in our cash and cash equivalents.</w:t>
      </w:r>
    </w:p>
    <w:p>
      <w:pPr>
        <w:pStyle w:val="TextBody"/>
        <w:bidi w:val="0"/>
        <w:spacing w:lineRule="auto" w:line="268" w:before="0" w:after="200"/>
        <w:ind w:left="0" w:right="0" w:firstLine="360"/>
        <w:jc w:val="both"/>
        <w:rPr/>
      </w:pPr>
      <w:r>
        <w:rPr>
          <w:rFonts w:ascii="Times New Roman;serif" w:hAnsi="Times New Roman;serif"/>
          <w:b w:val="false"/>
          <w:i/>
          <w:color w:val="000000"/>
          <w:sz w:val="20"/>
        </w:rPr>
        <w:t>Other Income (Expense), Net.</w:t>
      </w:r>
      <w:r>
        <w:rPr>
          <w:color w:val="000000"/>
        </w:rPr>
        <w:t xml:space="preserve"> </w:t>
      </w:r>
      <w:r>
        <w:rPr>
          <w:rFonts w:ascii="Times New Roman;serif" w:hAnsi="Times New Roman;serif"/>
          <w:b w:val="false"/>
          <w:color w:val="000000"/>
          <w:sz w:val="20"/>
        </w:rPr>
        <w:t>Other income, net was $14 million for the six months ended June 30, 2026, a change of $17 million from other expense, net of $3 million for the six months ended June 30, 2024. The change primarily included:</w:t>
      </w:r>
    </w:p>
    <w:p>
      <w:pPr>
        <w:pStyle w:val="TextBody"/>
        <w:bidi w:val="0"/>
        <w:spacing w:lineRule="auto" w:line="268" w:before="0" w:after="200"/>
        <w:ind w:left="0" w:right="0" w:hanging="360"/>
        <w:jc w:val="both"/>
        <w:rPr/>
      </w:pPr>
      <w:r>
        <w:rPr>
          <w:color w:val="000000"/>
        </w:rPr>
        <w:t>•</w:t>
      </w:r>
      <w:r>
        <w:rPr>
          <w:rFonts w:ascii="Times New Roman;serif" w:hAnsi="Times New Roman;serif"/>
          <w:b w:val="false"/>
          <w:color w:val="000000"/>
          <w:sz w:val="20"/>
        </w:rPr>
        <w:t>an unrealized gain on the deal-contingent forward U.S. dollar to Australian dollar contracts entered into in conjunction with the Domain Acquisition, and</w:t>
      </w:r>
    </w:p>
    <w:p>
      <w:pPr>
        <w:pStyle w:val="TextBody"/>
        <w:bidi w:val="0"/>
        <w:spacing w:lineRule="auto" w:line="268" w:before="0" w:after="200"/>
        <w:ind w:left="0" w:right="0" w:hanging="360"/>
        <w:jc w:val="both"/>
        <w:rPr/>
      </w:pPr>
      <w:r>
        <w:rPr>
          <w:color w:val="000000"/>
        </w:rPr>
        <w:t>•</w:t>
      </w:r>
      <w:r>
        <w:rPr>
          <w:rFonts w:ascii="Times New Roman;serif" w:hAnsi="Times New Roman;serif"/>
          <w:b w:val="false"/>
          <w:color w:val="000000"/>
          <w:sz w:val="20"/>
        </w:rPr>
        <w:t>an unrealized gain of $12 million related to the equity securities of Domain, partially offset by</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depreciation and amortization expense from leasing activities driven by a change in the useful life of improvements related to tenants who have modified their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68" w:before="0" w:after="0"/>
        <w:ind w:left="0" w:right="0" w:firstLine="360"/>
        <w:jc w:val="both"/>
        <w:rPr/>
      </w:pPr>
      <w:r>
        <w:rPr>
          <w:rFonts w:ascii="Times New Roman;serif" w:hAnsi="Times New Roman;serif"/>
          <w:b w:val="false"/>
          <w:i/>
          <w:color w:val="000000"/>
          <w:sz w:val="20"/>
        </w:rPr>
        <w:t>Income Tax Expense</w:t>
      </w:r>
      <w:r>
        <w:rPr>
          <w:rFonts w:ascii="Times New Roman;serif" w:hAnsi="Times New Roman;serif"/>
          <w:b w:val="false"/>
          <w:color w:val="000000"/>
          <w:sz w:val="20"/>
        </w:rPr>
        <w:t>. Income tax expense increased by $2 million, or 9%, to $24 million and the effective tax rate was 160% of income before income taxes for the six months ended June 30, 2025 compared to 46% of income before income taxes for the six months ended June 30, 2024. The increase in income tax expense was primarily due to a discrete tax expense for transaction costs, partially offset by lower income before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Business Segment Results for Six Months Ended June 30, 2026 Compared to Six Months Ended June 30, 2025</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Segment Adjusted EBITDA</w:t>
      </w:r>
      <w:r>
        <w:rPr>
          <w:rFonts w:ascii="Times New Roman;serif" w:hAnsi="Times New Roman;serif"/>
          <w:b w:val="false"/>
          <w:color w:val="000000"/>
          <w:sz w:val="20"/>
        </w:rPr>
        <w:t>. Commercial Real Estate Adjusted EBITDA increased by $21 million to $333 million. The increase was due to:</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increase in revenue discussed above, partially offset by,</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higher personnel costs, primarily due to the Matterport Acquisition completed in February 2025, as well as higher costs related to headcount growth within existing brands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of $27 million in general and administrative expenses, primarily due to costs related to product web hosting, office supplies, professional services, recruiting and relocation fees, as well as credit card processing fees.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Residential Real Estate Adjusted EBITDA improved by $144 million to a loss of $17 million. The improvement was due to:</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increase in revenue discussed above, partially offset by,</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of $34 million in general and administrative expenses primarily due to Domain,</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of $25 million in personnel and related costs, consisting of an increase of $56 million for Domain, partially offset by a decrease of $31 million from existing brands,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of $8 million in marketing expenses, consisting of an increase of $21 million for Domain, partially offset by a decrease of $13 million from existing brands.</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Business Segment Results for Six Months Ended June 30, 2025 Compared to Six Months Ended June 30, 2024</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Segment Adjusted EBITDA</w:t>
      </w:r>
      <w:r>
        <w:rPr>
          <w:rFonts w:ascii="Times New Roman;serif" w:hAnsi="Times New Roman;serif"/>
          <w:b w:val="false"/>
          <w:color w:val="000000"/>
          <w:sz w:val="20"/>
        </w:rPr>
        <w:t>. Commercial Real Estate Adjusted EBITDA increased by $25 million to $312 million. The increase was due to the increase in revenue discussed above, partially offset by:</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higher personnel costs, primarily due to the Matterport and Visual Lease Acquisitions completed in February 2025 and November 2024, respectively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of $21 million in general and administrative expenses, primarily due to incremental expenses from Matterport's post-acquisition operations, including costs of product web hosting, sales of Matterport equipment, capture services, and third-party commissions.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Residential Real Estate Adjusted EBITDA improved by $73 million to a loss of $161 million. The improvement was due to the increase in revenue discussed above and a $41 million decrease in marketing expense, partially offset by: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of $29 million in personnel cost due to the higher sales headcount from existing brands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of $6 million in general and administrative costs due to higher product hosting and merchant fees associated with revenue growth, as well as higher conference, occupancy, and related overhead costs resulting from increased sales headcount across our existing brands.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the balance of cash and cash equivalents, which was $1.3 billion as of June 30, 2026, along with cash generated by ongoing operations and continued access to capital markets, will be sufficient to satisfy our cash requirements over the next 12 months and beyond. Other than the matters discussed below, our cash requirements have not changed materially from what is described in the 2025 Form 10-K.</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Construction Commitments</w:t>
      </w:r>
      <w:r>
        <w:rPr>
          <w:rFonts w:ascii="Times New Roman;serif" w:hAnsi="Times New Roman;serif"/>
          <w:b w:val="false"/>
          <w:color w:val="000000"/>
          <w:sz w:val="20"/>
        </w:rPr>
        <w:t xml:space="preserve">. In June 2026, we substantially completed the expansion of our Richmond, Virginia campus in advance of the grand opening on July 6, 2026. As of June 30, 2026, we had accrued $98 million for estimated final invoices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retainage amounts, which we expect to pay during the second half of 2026. We intend to fund these expenditures with cash on hand.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conjunction with this expansion, we negotiated various tax incentives with the Commonwealth of Virginia and the City of Richmond, including the allowance to use market-based income apportionment for income taxes and partial reimbursements of property tax assessments related to the value of the campus expansion. These incentives are conditional upon achieving job creation and capital expenditure targets from 2022 to 2029. Failure to meet these targets could result in a reduction of the value of the tax incentives and repayment of previous tax reductions. The value of the allowance to use a market-based income apportionment for income taxes is dependent on our taxable income. We estimate the value of the allowance to use market-based income apportionment for income taxes for tax years 2023 to 2032 and partial reimbursements of property tax assessments related to the value of the campus expansion to be in the range of $275 million to $285 million.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currently renovating our corporate headquarters in Arlington, Virginia. The renovation is expected to result in a material cash commitment requirement in 2026 and 2027. We have engaged a project manager, architects, and a general contractor on terms that generally require payments as services are provided or construction is performed. As of June 30, 2026, we were obligated to spend an additional $46 million as construction service is performed and expect to amend these contracts as the project advances. We intend to fund these expenditures with cash on hand.</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Zonda Agreement</w:t>
      </w:r>
      <w:r>
        <w:rPr>
          <w:rFonts w:ascii="Times New Roman;serif" w:hAnsi="Times New Roman;serif"/>
          <w:b w:val="false"/>
          <w:color w:val="000000"/>
          <w:sz w:val="20"/>
        </w:rPr>
        <w:t>. In May 2026, we entered into a definitive agreement to acquire Zonda for approximately $800 million in cash. We expect to fund the acquisition using cash on hand. The transaction is expected to close in the second half of 2026, subject to customary conditions.</w:t>
      </w:r>
    </w:p>
    <w:p>
      <w:pPr>
        <w:pStyle w:val="TextBody"/>
        <w:bidi w:val="0"/>
        <w:spacing w:lineRule="auto" w:line="288" w:before="200" w:after="200"/>
        <w:ind w:left="0" w:right="0" w:firstLine="360"/>
        <w:jc w:val="both"/>
        <w:rPr/>
      </w:pPr>
      <w:r>
        <w:rPr>
          <w:rFonts w:ascii="Times New Roman;serif" w:hAnsi="Times New Roman;serif"/>
          <w:b w:val="false"/>
          <w:i/>
          <w:color w:val="000000"/>
          <w:sz w:val="20"/>
          <w:shd w:fill="FFFFFF" w:val="clear"/>
        </w:rPr>
        <w:t xml:space="preserve">Stock Repurchase Program. </w:t>
      </w:r>
      <w:r>
        <w:rPr>
          <w:rFonts w:ascii="Times New Roman;serif" w:hAnsi="Times New Roman;serif"/>
          <w:b w:val="false"/>
          <w:color w:val="000000"/>
          <w:sz w:val="20"/>
        </w:rPr>
        <w:t xml:space="preserve">In December 2025, the Board of Directors approved a Stock Repurchase Program which authorizes, but does not obligate, the repurchase of up to $1.5 billion of CoStar Group Shares. Stock repurchases may be effected through open market and privately negotiated purchases, from time to time as market conditions shall warrant, or such other method as advised by our advisors, including without limitation pursuant to an accelerated share repurchase program or issuer self-tender offer. Repurchases may be made from time to time at management's discretion, and the timing and amount of any such repurchases will be determined based on share price, market conditions, legal requirements, and other relevant factors. The program has no time limit and can be discontinued at any time at our discretion. </w:t>
      </w:r>
    </w:p>
    <w:p>
      <w:pPr>
        <w:pStyle w:val="TextBody"/>
        <w:bidi w:val="0"/>
        <w:spacing w:lineRule="auto" w:line="288" w:before="0" w:after="200"/>
        <w:ind w:left="0" w:right="0" w:firstLine="360"/>
        <w:jc w:val="both"/>
        <w:rPr/>
      </w:pPr>
      <w:r>
        <w:rPr>
          <w:rFonts w:ascii="Times New Roman;serif" w:hAnsi="Times New Roman;serif"/>
          <w:b w:val="false"/>
          <w:color w:val="000000"/>
          <w:sz w:val="20"/>
          <w:shd w:fill="FFFFFF" w:val="clear"/>
        </w:rPr>
        <w:t xml:space="preserve">During the six months ended June 30, 2026, we repurchased 13.8 million CoStar Group Shares for an aggregate cost of $589 million under the </w:t>
      </w:r>
      <w:r>
        <w:rPr>
          <w:rFonts w:ascii="Times New Roman;serif" w:hAnsi="Times New Roman;serif"/>
          <w:b w:val="false"/>
          <w:color w:val="000000"/>
          <w:sz w:val="20"/>
        </w:rPr>
        <w:t>Stock Repurchase Program</w:t>
      </w:r>
      <w:r>
        <w:rPr>
          <w:rFonts w:ascii="Times New Roman;serif" w:hAnsi="Times New Roman;serif"/>
          <w:b w:val="false"/>
          <w:color w:val="000000"/>
          <w:sz w:val="20"/>
          <w:shd w:fill="FFFFFF" w:val="clear"/>
        </w:rPr>
        <w:t>. The aggregate cost includes $2 million of estimated excise taxes, transaction fees, and other costs that are excluded from the the fair value used to measure the amount authorized under the Stock Repurchase Program. As of June 30, 2026, $913 million remains available for repurchases under the Stock Repurchase Program. We anticipate repurchasing at lea</w:t>
      </w:r>
      <w:r>
        <w:rPr>
          <w:rFonts w:ascii="Times New Roman;serif" w:hAnsi="Times New Roman;serif"/>
          <w:b w:val="false"/>
          <w:color w:val="000000"/>
          <w:sz w:val="20"/>
        </w:rPr>
        <w:t>st $113 million of additional CoStar Group Shares in 2026.</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 xml:space="preserve">Cash on Hand. </w:t>
      </w:r>
      <w:r>
        <w:rPr>
          <w:rFonts w:ascii="Times New Roman;serif" w:hAnsi="Times New Roman;serif"/>
          <w:b w:val="false"/>
          <w:color w:val="000000"/>
          <w:sz w:val="20"/>
        </w:rPr>
        <w:t>Cash and cash equivalents decreased</w:t>
      </w:r>
      <w:r>
        <w:rPr>
          <w:color w:val="000000"/>
          <w:shd w:fill="FFFFFF" w:val="clear"/>
        </w:rPr>
        <w:t xml:space="preserve"> </w:t>
      </w:r>
      <w:r>
        <w:rPr>
          <w:rFonts w:ascii="Times New Roman;serif" w:hAnsi="Times New Roman;serif"/>
          <w:b w:val="false"/>
          <w:color w:val="000000"/>
          <w:sz w:val="20"/>
          <w:shd w:fill="FFFFFF" w:val="clear"/>
        </w:rPr>
        <w:t xml:space="preserve">to $1.3 billion as of June 30, 2026, compared to cash, cash equivalents, and restricted cash of $1.7 billion as of December 31, 2025. The </w:t>
      </w:r>
      <w:r>
        <w:rPr>
          <w:rFonts w:ascii="Times New Roman;serif" w:hAnsi="Times New Roman;serif"/>
          <w:b w:val="false"/>
          <w:color w:val="000000"/>
          <w:sz w:val="20"/>
        </w:rPr>
        <w:t>decrease</w:t>
      </w:r>
      <w:r>
        <w:rPr>
          <w:color w:val="000000"/>
          <w:shd w:fill="FFFFFF" w:val="clear"/>
        </w:rPr>
        <w:t xml:space="preserve"> </w:t>
      </w:r>
      <w:r>
        <w:rPr>
          <w:rFonts w:ascii="Times New Roman;serif" w:hAnsi="Times New Roman;serif"/>
          <w:b w:val="false"/>
          <w:color w:val="000000"/>
          <w:sz w:val="20"/>
          <w:shd w:fill="FFFFFF" w:val="clear"/>
        </w:rPr>
        <w:t>in cash, cash</w:t>
      </w:r>
      <w:r>
        <w:rPr>
          <w:color w:val="000000"/>
        </w:rPr>
        <w:t xml:space="preserve"> </w:t>
      </w:r>
      <w:r>
        <w:rPr>
          <w:rFonts w:ascii="Times New Roman;serif" w:hAnsi="Times New Roman;serif"/>
          <w:b w:val="false"/>
          <w:color w:val="000000"/>
          <w:sz w:val="20"/>
        </w:rPr>
        <w:t>equivalents, and restricted cash for the six months ended June 30, 2026 was due to $622 million of net cash used in financing activities and $110 million of net cash used in investing activities, partially offset by $267 million of net cash provided by operating activities.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for the six months ended June 30, 2026 was $267 million compared to $200 million for the six months ended June 30, 2025. The $67 million increase in net cash provided by operating activities was primarily due to an increase in non-cash expenses of $102 million and an increased net income, partially offset by a decrease in working capital of $102 million, primarily due to the $109 million settlement payment related to the Brown Judgment.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six months ended June 30, 2026 was $110 million compared to $1.1 billion for the six months ended June 30, 2025, primarily due to the Matterport and Domain Acquisitions in 2025, including the initial purchase of equity securities in Domain and a decrease in purchases of property, equipment, and other assets for new campuses in 2026, partially offset by proceeds from the sale of investments in 2025.</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for the six months ended June 30, 2026 was $622 million compared to $99 million for the six months ended June 30, 2025. The increase was primarily due to repurchases of our outstanding common stock under the Stock Repurchase Program and AOMs buyout, partially offset by a reduction in the repurchases of restricted stock to satisfy tax withholding obligations and an increase in the proceeds from the exercise of stock options and employee stock purchase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and related disclosures in conformity with GAAP requires management to make estimates, judgments, and assumptions that affect the reported amounts of assets, liabilities, revenue and expenses, and related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disclosures. While we have used our best estimates based on facts and circumstances available to us at the time, different acceptable assumptions would yield different results. Changes in the accounting estimates are reasonably likely to occur from period to period, which may have a material impact on the presentation of our financial condition and results of operations. We review these estimates and assumptions periodically and reflect the effects of revisions in the period that they are determined to be necessary. We consider the accounting for the following matters to contain critical accounting estimates: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Intangible assets and goodwill,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Income taxes,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Business combinations.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an in-depth discussion of each of our significant accounting policies, including the related critical accounting estimates and further information regarding estimates and assumptions involved in their application, see the 2025 Form 10-K and Note 2 of the Notes to the Condensed Consolidated Financial Statements included in Part I of this Report. During the six months ended June 30, 2026, there were no material changes to our critical accounting estimates from those described in the 2025 Form 10-K.</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2 of the Notes to the Condensed Consolidated Financial Statements included in Part I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Cautionary Statement Concerning Forward-Looking Statements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made forward-looking statements in this Report and make forward-looking statements in our other reports filed with the SEC, press releases, and conference calls that are subject to risks and uncertainties. Forward-looking statements include information that is not purely historic fact.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forward-looking statements are also identified by words such as “hope,” “anticipate,” “may,” “likely,” “might,” “believe,” “expect,” “observe,” “consider,” “think,” “intend,” “envision,” “will,” “should,” “could,” “would,” “plan,” “target,” “estimate,” “predict,” “continue,” “commit,” and “potential” or the negative of these terms or other comparable terminology. You should understand that these forward-looking statements are estimates reflecting our judgment, beliefs, and expectations, not guarantees of future performance. They are subject to a number of assumptions, risks, and uncertainties that could cause actual results to differ materially from those expressed or implied in the forward-looking statements. The following important factors, in addition to those discussed or referred to under the heading “Risk Factors” in Item 1A of Part I of our 2025 Form 10-K and “Risk Factors” in Item 1A of Part II of this Report and other unforeseen events or circumstances, could affect our future results and could cause those results or other outcomes to differ materially from those expressed or implied in our forward-looking statements: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inability to attract and retain new clients;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inability to successfully develop and introduce new or updated real estate information, analytics, and online marketplaces;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risks related to AI Technologies, such as Homes Ai and Apartments Ai;</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inability to compete successfully against existing or future competitors in attracting advertisers and in general;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effects of fluctuations and market cyclicality;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effects of global economic uncertainties and downturns or a downturn or consolidation in the real estate industry;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inability to hire qualified persons for, or retain and continue to develop, our sales force, or unproductivity of our sales force;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inability to retain and attract highly capable management and operating personnel;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downward pressure that our internal and external investments may place on our operating margins;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inability to increase brand awareness;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inability to maintain or increase internet traffic to our marketplaces, and the risk that the methods, including Google Analytics, that we use to measure average monthly unique visitors to our portals may misstate the actual number of unique persons who visit our network of mobile applications and websites for a given month or may differ from the methods used by competitors;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inability to attract new advertisers;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inability to successfully identify, finance, integrate, and/or manage costs related to acquisitions;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inability to complete certain strategic transactions if a proposed transaction is subject to review or approval by regulatory authorities pursuant to applicable laws or regulations;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inability to realize the benefits of the Matterport Acquisition, the Domain Acquisition, or the Zonda Acquisition, or to complete the Zonda Acquisition in a timely manner, or at all; </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the inability of third-party suppliers upon which Matterport relies to fulfill its needs;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effects of cyberattacks and security vulnerabilities, and technical problems or disruptions;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significant costs associated with undertaking a large infrastructure project;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inability to generate increased revenue from our current or future geographic expansion plans;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risks related to acceptance of credit cards and debit cards and facilitation of other customer payments;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effects of climate-related events and other events beyond our control;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effects related to attention to climate-related risks and opportunities;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inability to obtain and maintain accurate, comprehensive, or reliable data;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inability to obtain and maintain stable data feeds, or disruption of our data feeds;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inability to enforce or defend our ownership and use of intellectual property;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effects of use of new and evolving technologies, including AI, on our ability to protect our data and intellectual property from misappropriation by third parties;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inability to defend against potential legal liability for collecting, displaying, or distributing information;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inability to obtain or retain listings from real estate brokers, agents, property owners, and apartment property managers;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inability to maintain or establish relationships with third-party listing providers;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inability to comply with the rules and compliance requirements of MLSs;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risks related to open source software;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risks related to international operations;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effects of foreign currency exchange rate fluctuations;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indebtedness;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effects of a lowering or withdrawal of the ratings assigned to our debt securities by rating agencies;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effects of any actual or perceived failure to comply with privacy or data protection laws, regulations, or standards;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effects of changes in tax laws, regulations, or fiscal and tax policies;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effects of third-party claims, litigation, regulatory proceedings, or government investigations;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risks related to return on investment; and</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rPr>
        <w:t>the risks related to the specific timing, price, and size of repurchases under the Stock Repurchase Program, including that the Stock Repurchase Program may be suspended or discontinued at any time at the Company’s discretion.</w:t>
      </w:r>
    </w:p>
    <w:p>
      <w:pPr>
        <w:pStyle w:val="TextBody"/>
        <w:bidi w:val="0"/>
        <w:spacing w:before="0" w:after="0"/>
        <w:ind w:left="0" w:right="0" w:firstLine="360"/>
        <w:jc w:val="left"/>
        <w:rPr/>
      </w:pPr>
      <w:r>
        <w:rPr/>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Accordingly, you should not place undue reliance on forward-looking statements, which speak only as of, and are based on information available to us on, the date of this Report. All subsequent written and oral forward-looking statements attributable to us or any person acting on our behalf are expressly qualified in their entirety by the cautionary statements contained or referred to in this section. We do not undertake any obligation to update any such statements or release publicly any revisions to these forward-looking statements to reflect new information or events or circumstances after the date of this Report or to reflect the occurrence of unanticipated events, except as required by applicable law. Additionally, certain information disclosed herein or elsewhere (such as our website) is informed by various stakeholder expectations and third-party frameworks. Such information is not necessarily material for purposes of our SEC reporting, even if we use “material” or similar language. Particularly with respect to climate-related risks and opportunities, materiality is subject to various definitions that differ from, and are often more expansive than, the definition under U.S. federal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200" w:after="200"/>
        <w:ind w:left="0" w:right="0" w:hanging="1080"/>
        <w:jc w:val="both"/>
        <w:rPr>
          <w:rFonts w:ascii="Times New Roman;serif" w:hAnsi="Times New Roman;serif"/>
          <w:b/>
          <w:color w:val="000000"/>
          <w:sz w:val="20"/>
        </w:rPr>
      </w:pPr>
      <w:r>
        <w:rPr>
          <w:rFonts w:ascii="Times New Roman;serif" w:hAnsi="Times New Roman;serif"/>
          <w:b/>
          <w:color w:val="000000"/>
          <w:sz w:val="20"/>
        </w:rPr>
        <w:t>Item 3.Quantitative and Qualitative Disclosures About Market Risk</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provide real estate information, analytics, and online marketplaces services to real estate and related business communities within the regions where we operate, which primarily include North America, Asia-Pacific, Europe, and Latin America. The functional currency for the majority of our operations is the local currency, with the exception of certain international locations for which the functional currency is the British Pound or U.S. Dollar.</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Fluctuations in the British Pound, Canadian Dollar, Australian Dollar, and Euro may have an impact on our business, results of operations, and financial position. For each of the three and six months ended June 30, 2026, approximately 14% of our revenue, respectively, was denominated in foreign currencies. For the three and six months ended June 30, 2026, our revenue would have decreased by approximately $13 million and $25 million, respectively, if the U.S. dollar exchange rate used strengthened by 10%. For the three and six months ended June 30, 2026, our revenue would have increased by approximately $13 million and $25 million, respectively, if the U.S. dollar exchange rate used weakened by 10%. In addition, we have assets and liabilities denominated in foreign currencies. As of June 30, 2026, accumulated other comprehensive income included a gain from foreign currency translation adjustments of approximately $138 million.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do not believe we have material exposure to market risks associated with changes in interest rates related to cash equivalent securities held as of June 30, 2026. As of June 30, 2026, we had $1.3 billion of cash and cash equivalents. If there is an increase or decrease in interest rates, there will be a corresponding increase or decrease in the amount of interest earned on our cash and cash equivalents. We currently diversify our cash and cash equivalents holdings amongst multiple financial institutions and AAA-rated Government and Treasury Money Market Funds.</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We are subject to interest rate market risk in connection with our revolving credit facility. On May 24, 2024, we entered into the 2024 Credit Agreement, which provides for variable rate borrowings of up to $1.1 billion. On July 1, 2020, we issued </w:t>
      </w:r>
      <w:r>
        <w:rPr>
          <w:rFonts w:ascii="Times New Roman;serif" w:hAnsi="Times New Roman;serif"/>
          <w:b w:val="false"/>
          <w:color w:val="000000"/>
          <w:sz w:val="20"/>
          <w:shd w:fill="FFFFFF" w:val="clear"/>
        </w:rPr>
        <w:t>$1.0 billion</w:t>
      </w:r>
      <w:r>
        <w:rPr>
          <w:color w:val="000000"/>
        </w:rPr>
        <w:t xml:space="preserve"> </w:t>
      </w:r>
      <w:r>
        <w:rPr>
          <w:rFonts w:ascii="Times New Roman;serif" w:hAnsi="Times New Roman;serif"/>
          <w:b w:val="false"/>
          <w:color w:val="000000"/>
          <w:sz w:val="20"/>
        </w:rPr>
        <w:t>aggregate principal amount of Senior Notes. Changes in interest rates would not have a material impact to our current interest and debt financing expense, as all of our borrowings except for our credit facility are fixed rate, and no amounts were outstanding under our credit facility as of June 30, 2026. See Note 9 of the Notes to the Condensed Consolidated Financial Statements included in Part I of this Report for additional information regarding our 2024 Credit Agreement.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had approximately $6.7 billion of goodwill and intangible assets as of June 30, 2026. As of June 30, 2026, we believe our intangible assets will be recoverable; however, changes in the economy, the industry in which we operate, and our own relative performance could change the assumptions used to evaluate intangible asset recoverability. In the event that we determine that an asset has been impaired, we would recognize an impairment charge equal to the amount by which the carrying amount of the assets exceeds the fair value of the assets. We continue to monitor these assumptions and their effect on the estimated recoverability of our intangible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200" w:after="200"/>
        <w:ind w:left="0" w:right="0" w:hanging="1080"/>
        <w:jc w:val="both"/>
        <w:rPr>
          <w:rFonts w:ascii="Times New Roman;serif" w:hAnsi="Times New Roman;serif"/>
          <w:b/>
          <w:color w:val="000000"/>
          <w:sz w:val="20"/>
        </w:rPr>
      </w:pPr>
      <w:r>
        <w:rPr>
          <w:rFonts w:ascii="Times New Roman;serif" w:hAnsi="Times New Roman;serif"/>
          <w:b/>
          <w:color w:val="000000"/>
          <w:sz w:val="20"/>
        </w:rPr>
        <w:t>Item 4.Controls and Procedures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designed to ensure that information required to be disclosed in our reports filed or submitted under the Exchange Act is recorded, processed, summarized, and reported within the time periods specified in the SEC’s rules and forms. These controls also are designed to ensure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systems of controls and procedures, no matter how well designed and operated, can provide only reasonable assurance of achieving their objectives. Accordingly, management is required to apply judgment in evaluating the cost-benefit relationship of possible controls and procedures.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under the supervision and with the participation of our management, including our Chief Executive Officer and our Chief Financial Officer, we evaluated the effectiveness of our disclosure controls and procedures. Based on this evaluation, our Chief Executive Officer and Chief Financial Officer concluded that our disclosure controls and procedures were effective as of June 30, 2026, and were operating at a reasonable assurance level.</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continuing to integrate the internal controls over financial reporting of recent acquisitions. These activities may require modifications to certain processes, systems, and other components of internal controls over financial reporting. Consistent with our process changes, we evaluate the design and effectiveness of the internal controls as part of our overall assessment of disclosure controls and procedures.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than the integration activities associated with recent acquisitions, there were no changes in our internal control over financial reporting during our most recent fiscal quarter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1080"/>
        <w:jc w:val="both"/>
        <w:rPr>
          <w:rFonts w:ascii="Times New Roman;serif" w:hAnsi="Times New Roman;serif"/>
          <w:b/>
          <w:color w:val="000000"/>
          <w:sz w:val="20"/>
        </w:rPr>
      </w:pPr>
      <w:r>
        <w:rPr>
          <w:rFonts w:ascii="Times New Roman;serif" w:hAnsi="Times New Roman;serif"/>
          <w:b/>
          <w:color w:val="000000"/>
          <w:sz w:val="20"/>
        </w:rPr>
        <w:t>Item 1.Legal Proceedings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Currently, and from time to time, we are involved in litigation incidental to the conduct of our business. We are not currently a party to any lawsuit or proceeding that, in the opinion of our management based on consultations with legal counsel, is likely to have a material adverse effect on our financial position or results of operations. See Note 11 of the Notes to the Condensed Consolidated Financial Statements included in Part I of this Report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1080"/>
        <w:jc w:val="both"/>
        <w:rPr>
          <w:rFonts w:ascii="Times New Roman;serif" w:hAnsi="Times New Roman;serif"/>
          <w:b/>
          <w:color w:val="000000"/>
          <w:sz w:val="20"/>
        </w:rPr>
      </w:pPr>
      <w:r>
        <w:rPr>
          <w:rFonts w:ascii="Times New Roman;serif" w:hAnsi="Times New Roman;serif"/>
          <w:b/>
          <w:color w:val="000000"/>
          <w:sz w:val="20"/>
        </w:rPr>
        <w:t>Item 1A.Risk Factors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other information set forth in this Report, you should carefully consider the factors disclosed in Part I, Item 1A, “Risk Factors” in our 2025 Form 10-K, which could materially affect our business, financial condition or future results. Additional risks and uncertainties not currently known to us, or that we currently deem to be immaterial, may also have a material adverse effect on our business, financial condition, and/or results of operations. Other than the following items, there have not been any material changes to the risk factors as previously disclosed in Part I, Item 1A, "Risk Factors” in our 2025 Form 10-K.</w:t>
      </w:r>
    </w:p>
    <w:p>
      <w:pPr>
        <w:pStyle w:val="TextBody"/>
        <w:bidi w:val="0"/>
        <w:spacing w:lineRule="auto" w:line="288" w:before="200" w:after="200"/>
        <w:ind w:left="0" w:right="0" w:firstLine="360"/>
        <w:jc w:val="both"/>
        <w:rPr>
          <w:rFonts w:ascii="Times New Roman;serif" w:hAnsi="Times New Roman;serif"/>
          <w:b/>
          <w:color w:val="000000"/>
          <w:sz w:val="20"/>
        </w:rPr>
      </w:pPr>
      <w:r>
        <w:rPr>
          <w:rFonts w:ascii="Times New Roman;serif" w:hAnsi="Times New Roman;serif"/>
          <w:b/>
          <w:color w:val="000000"/>
          <w:sz w:val="20"/>
        </w:rPr>
        <w:t>Risks related to our business</w:t>
      </w:r>
    </w:p>
    <w:p>
      <w:pPr>
        <w:pStyle w:val="TextBody"/>
        <w:bidi w:val="0"/>
        <w:spacing w:lineRule="auto" w:line="288" w:before="200" w:after="20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We may be unable to complete the acquisition of Zonda or otherwise realize the benefits of the pending Zonda acquisition, which could have an adverse effect on us.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May 28, 2026, we announced that we had entered into the Zonda Agreement, to acquire Zonda. Pursuant to the Zonda Agreement, and subject to the terms and conditions contained therein, at the closing of the Zonda Acquisition, among other things, we will acquire all of the issued and outstanding capital stock of Zonda in a cash transaction. The closing of the Zonda Acquisition is subject to certain customary closing conditions, including, among others: expiration or termination of the applicable waiting periods under the Hart-Scott-Rodino Antitrust Improvements Act of 1976, and certain other regulatory laws; the absence of any law, order, decree, ruling or injunction of a governmental authority with jurisdiction prohibiting or making illegal the consummation of the Zonda Acquisition; the accuracy of each party’s representations and warranties and the performance and compliance by each party with its respective covenants in each case subject to certain qualifiers; there not having occurred since the date of the Zonda Agreement any event, development, change or occurrence that has had or would reasonably be expected to have had, individually or in the aggregate, a material adverse effect; and the delivery of customary closing documents. </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Until the completion of the Zonda Acquisition, we will operate independently of Zonda. It is possible that the pendency of the Zonda Acquisition could result in the loss of key employees, higher than expected costs, diversion of management attention, or the disruption of our ongoing businesses, which may adversely affect the combined company’s ability to maintain relationships with customers, vendors, and employees or to achieve the anticipated benefits of the Zonda Acquisition. </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incurred, and we will continue to incur, transaction fees, including legal, regulatory and other costs associated with closing the Zonda Acquisition, as well as expenses related to formulating and implementing integration plans, including systems consolidation costs and employment-related costs. We may be unable to offset transaction and integration-related costs with the realization of other efficiencies related to the integration of the business.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success of the Zonda Acquisition, if completed, will depend in part on our ability to realize the anticipated business opportunities and growth prospects from combining our business with that of Zonda. We may never realize these business opportunities and growth prospects. Integrating operations and employees will require significant efforts and expenditures. If we are unable to successfully or timely acquire and integrate Zonda’s business with ours, we may be unable to realize the growth, synergies, and other anticipated benefits resulting from the Zonda Acquisition and our business could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200" w:after="200"/>
        <w:ind w:left="0" w:right="0" w:hanging="1080"/>
        <w:jc w:val="both"/>
        <w:rPr>
          <w:rFonts w:ascii="Times New Roman;serif" w:hAnsi="Times New Roman;serif"/>
          <w:b/>
          <w:color w:val="000000"/>
          <w:sz w:val="20"/>
        </w:rPr>
      </w:pPr>
      <w:r>
        <w:rPr>
          <w:rFonts w:ascii="Times New Roman;serif" w:hAnsi="Times New Roman;serif"/>
          <w:b/>
          <w:color w:val="000000"/>
          <w:sz w:val="20"/>
        </w:rPr>
        <w:t>Item 2.Unregistered Sales of Equity Securities and Use of Proceeds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is a summary of our repurchases of common stock during each of the three months ended June 30, 2026:</w:t>
      </w:r>
    </w:p>
    <w:p>
      <w:pPr>
        <w:pStyle w:val="TextBody"/>
        <w:bidi w:val="0"/>
        <w:spacing w:lineRule="auto" w:line="288" w:before="0" w:after="200"/>
        <w:ind w:left="0" w:right="0" w:firstLine="360"/>
        <w:jc w:val="center"/>
        <w:rPr>
          <w:rFonts w:ascii="Times New Roman;serif" w:hAnsi="Times New Roman;serif"/>
          <w:b/>
          <w:color w:val="000000"/>
          <w:sz w:val="20"/>
        </w:rPr>
      </w:pPr>
      <w:r>
        <w:rPr>
          <w:rFonts w:ascii="Times New Roman;serif" w:hAnsi="Times New Roman;serif"/>
          <w:b/>
          <w:color w:val="000000"/>
          <w:sz w:val="20"/>
        </w:rPr>
        <w:t>ISSUER PURCHASES OF EQUITY SECURITIES</w:t>
      </w:r>
    </w:p>
    <w:tbl>
      <w:tblPr>
        <w:tblW w:w="10205" w:type="dxa"/>
        <w:jc w:val="left"/>
        <w:tblInd w:w="0" w:type="dxa"/>
        <w:tblLayout w:type="fixed"/>
        <w:tblCellMar>
          <w:top w:w="28" w:type="dxa"/>
          <w:left w:w="28" w:type="dxa"/>
          <w:bottom w:w="28" w:type="dxa"/>
          <w:right w:w="28" w:type="dxa"/>
        </w:tblCellMar>
      </w:tblPr>
      <w:tblGrid>
        <w:gridCol w:w="566"/>
        <w:gridCol w:w="496"/>
        <w:gridCol w:w="502"/>
        <w:gridCol w:w="109"/>
        <w:gridCol w:w="109"/>
        <w:gridCol w:w="109"/>
        <w:gridCol w:w="405"/>
        <w:gridCol w:w="405"/>
        <w:gridCol w:w="407"/>
        <w:gridCol w:w="109"/>
        <w:gridCol w:w="109"/>
        <w:gridCol w:w="109"/>
        <w:gridCol w:w="215"/>
        <w:gridCol w:w="629"/>
        <w:gridCol w:w="111"/>
        <w:gridCol w:w="109"/>
        <w:gridCol w:w="109"/>
        <w:gridCol w:w="109"/>
        <w:gridCol w:w="409"/>
        <w:gridCol w:w="409"/>
        <w:gridCol w:w="410"/>
        <w:gridCol w:w="109"/>
        <w:gridCol w:w="109"/>
        <w:gridCol w:w="109"/>
        <w:gridCol w:w="994"/>
        <w:gridCol w:w="2200"/>
        <w:gridCol w:w="739"/>
      </w:tblGrid>
      <w:tr>
        <w:trPr/>
        <w:tc>
          <w:tcPr>
            <w:tcW w:w="5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r>
      <w:tr>
        <w:trPr/>
        <w:tc>
          <w:tcPr>
            <w:tcW w:w="1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Total Number of</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Shares</w:t>
            </w:r>
          </w:p>
          <w:p>
            <w:pPr>
              <w:pStyle w:val="TableContents"/>
              <w:bidi w:val="0"/>
              <w:spacing w:lineRule="auto" w:line="288" w:before="0" w:after="0"/>
              <w:jc w:val="center"/>
              <w:rPr/>
            </w:pPr>
            <w:r>
              <w:rPr>
                <w:rFonts w:ascii="Times New Roman;serif" w:hAnsi="Times New Roman;serif"/>
                <w:b/>
                <w:color w:val="000000"/>
                <w:sz w:val="20"/>
              </w:rPr>
              <w:t>Purchased</w:t>
            </w:r>
            <w:r>
              <w:rPr>
                <w:rFonts w:ascii="Times New Roman;serif" w:hAnsi="Times New Roman;serif"/>
                <w:b/>
                <w:color w:val="000000"/>
                <w:sz w:val="13"/>
              </w:rPr>
              <w:t>(1)</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Average</w:t>
              <w:br/>
              <w:t>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Total Number of</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Shares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Purchased as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of Publicly</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Announced</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Plans or</w:t>
            </w:r>
          </w:p>
          <w:p>
            <w:pPr>
              <w:pStyle w:val="TableContents"/>
              <w:bidi w:val="0"/>
              <w:spacing w:lineRule="auto" w:line="288" w:before="0" w:after="0"/>
              <w:jc w:val="center"/>
              <w:rPr/>
            </w:pPr>
            <w:r>
              <w:rPr>
                <w:rFonts w:ascii="Times New Roman;serif" w:hAnsi="Times New Roman;serif"/>
                <w:b/>
                <w:color w:val="000000"/>
                <w:sz w:val="20"/>
              </w:rPr>
              <w:t>Programs</w:t>
            </w:r>
            <w:r>
              <w:rPr>
                <w:rFonts w:ascii="Times New Roman;serif" w:hAnsi="Times New Roman;serif"/>
                <w:b/>
                <w:color w:val="000000"/>
                <w:sz w:val="13"/>
              </w:rPr>
              <w:t>(2)</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Approximate Dollar Value of Shares that May Yet Be Purchased Under the Plans or Program</w:t>
            </w:r>
            <w:r>
              <w:rPr>
                <w:rFonts w:ascii="Times New Roman;serif" w:hAnsi="Times New Roman;serif"/>
                <w:b/>
                <w:color w:val="000000"/>
                <w:sz w:val="13"/>
              </w:rPr>
              <w:t>(2)</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15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April 1 through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38.35 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7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1 through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1 through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7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0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40"/>
              <w:jc w:val="left"/>
              <w:rPr/>
            </w:pPr>
            <w:r>
              <w:rPr/>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The number includes CoStar Group Shares tendered by employees to the Company to satisfy the employees' minimum tax withholding obligations arising as a result of vesting of restricted stock grants under the Company’s 2025 Stock Incentive Plan, for which shares were purchased by the Company based on their fair market value on the trading day immediately preceding the vesting date. </w:t>
      </w:r>
    </w:p>
    <w:p>
      <w:pPr>
        <w:pStyle w:val="TextBody"/>
        <w:bidi w:val="0"/>
        <w:spacing w:lineRule="auto" w:line="268" w:before="0" w:after="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In December 2025, the Board of Directors approved the Stock Repurchase Program which authorizes the repurchase of up to $1.5 billion of outstanding CoStar Group Shares, with no expiration date. During the three months ended June 30, 2026, the Company repurchased 2.4 million CoStar Group Shares for an aggregate cost of $83 million. See Note 13 for further discussion regarding the Stock Repurchase Program and stock repurchase activity.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1080"/>
        <w:jc w:val="both"/>
        <w:rPr>
          <w:rFonts w:ascii="Times New Roman;serif" w:hAnsi="Times New Roman;serif"/>
          <w:b/>
          <w:color w:val="000000"/>
          <w:sz w:val="20"/>
        </w:rPr>
      </w:pPr>
      <w:r>
        <w:rPr>
          <w:rFonts w:ascii="Times New Roman;serif" w:hAnsi="Times New Roman;serif"/>
          <w:b/>
          <w:color w:val="000000"/>
          <w:sz w:val="20"/>
        </w:rPr>
        <w:t>Item 3.Defaults Upon Senior Securities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1080"/>
        <w:jc w:val="both"/>
        <w:rPr>
          <w:rFonts w:ascii="Times New Roman;serif" w:hAnsi="Times New Roman;serif"/>
          <w:b/>
          <w:color w:val="000000"/>
          <w:sz w:val="20"/>
        </w:rPr>
      </w:pPr>
      <w:r>
        <w:rPr>
          <w:rFonts w:ascii="Times New Roman;serif" w:hAnsi="Times New Roman;serif"/>
          <w:b/>
          <w:color w:val="000000"/>
          <w:sz w:val="20"/>
        </w:rPr>
        <w:t>Item 4.Mine Safety Disclosures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1080"/>
        <w:jc w:val="both"/>
        <w:rPr>
          <w:rFonts w:ascii="Times New Roman;serif" w:hAnsi="Times New Roman;serif"/>
          <w:b/>
          <w:color w:val="000000"/>
          <w:sz w:val="20"/>
        </w:rPr>
      </w:pPr>
      <w:r>
        <w:rPr>
          <w:rFonts w:ascii="Times New Roman;serif" w:hAnsi="Times New Roman;serif"/>
          <w:b/>
          <w:color w:val="000000"/>
          <w:sz w:val="20"/>
        </w:rPr>
        <w:t>Item 5.Other Information</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 director or officer of the Company adopted or terminated a “Rule 10b5-1 trading arrangement” or “non-Rule 10b5-1 trading arrangement,” as each term is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0"/>
        <w:jc w:val="left"/>
        <w:rPr/>
      </w:pPr>
      <w:r>
        <w:rPr>
          <w:rFonts w:ascii="Times New Roman;serif" w:hAnsi="Times New Roman;serif"/>
          <w:b/>
          <w:color w:val="000000"/>
          <w:sz w:val="20"/>
        </w:rPr>
        <w:t>Item 6.</w:t>
      </w:r>
      <w:r>
        <w:rPr>
          <w:rFonts w:ascii="Times New Roman;serif" w:hAnsi="Times New Roman;serif"/>
          <w:b/>
          <w:color w:val="000000"/>
          <w:sz w:val="20"/>
        </w:rPr>
        <w:t>Exhibits</w:t>
      </w:r>
    </w:p>
    <w:tbl>
      <w:tblPr>
        <w:tblW w:w="10205" w:type="dxa"/>
        <w:jc w:val="left"/>
        <w:tblInd w:w="0" w:type="dxa"/>
        <w:tblLayout w:type="fixed"/>
        <w:tblCellMar>
          <w:top w:w="28" w:type="dxa"/>
          <w:left w:w="28" w:type="dxa"/>
          <w:bottom w:w="28" w:type="dxa"/>
          <w:right w:w="28" w:type="dxa"/>
        </w:tblCellMar>
      </w:tblPr>
      <w:tblGrid>
        <w:gridCol w:w="285"/>
        <w:gridCol w:w="251"/>
        <w:gridCol w:w="253"/>
        <w:gridCol w:w="109"/>
        <w:gridCol w:w="109"/>
        <w:gridCol w:w="109"/>
        <w:gridCol w:w="2756"/>
        <w:gridCol w:w="2618"/>
        <w:gridCol w:w="3715"/>
      </w:tblGrid>
      <w:tr>
        <w:trPr/>
        <w:tc>
          <w:tcPr>
            <w:tcW w:w="28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c>
          <w:tcPr>
            <w:tcW w:w="2618" w:type="dxa"/>
            <w:tcBorders/>
            <w:vAlign w:val="center"/>
          </w:tcPr>
          <w:p>
            <w:pPr>
              <w:pStyle w:val="TableContents"/>
              <w:bidi w:val="0"/>
              <w:spacing w:before="0" w:after="283"/>
              <w:jc w:val="left"/>
              <w:rPr>
                <w:sz w:val="4"/>
                <w:szCs w:val="4"/>
              </w:rPr>
            </w:pPr>
            <w:r>
              <w:rPr>
                <w:sz w:val="4"/>
                <w:szCs w:val="4"/>
              </w:rPr>
            </w:r>
          </w:p>
        </w:tc>
        <w:tc>
          <w:tcPr>
            <w:tcW w:w="3715" w:type="dxa"/>
            <w:tcBorders/>
            <w:vAlign w:val="center"/>
          </w:tcPr>
          <w:p>
            <w:pPr>
              <w:pStyle w:val="TableContents"/>
              <w:bidi w:val="0"/>
              <w:spacing w:before="0" w:after="283"/>
              <w:jc w:val="left"/>
              <w:rPr>
                <w:sz w:val="4"/>
                <w:szCs w:val="4"/>
              </w:rPr>
            </w:pPr>
            <w:r>
              <w:rPr>
                <w:sz w:val="4"/>
                <w:szCs w:val="4"/>
              </w:rPr>
            </w:r>
          </w:p>
        </w:tc>
      </w:tr>
      <w:tr>
        <w:trPr/>
        <w:tc>
          <w:tcPr>
            <w:tcW w:w="7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7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3">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Fourth Amended and Restated Certificate of Incorporation (Incorporated by reference to Exhibit 3.1 to the Registrant's Current Report on Form 8-K filed with the SEC on June 7, 2021).</w:t>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4">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Fourth Amended and Restated By-Laws (Incorporated by reference to Exhibit 3.1 to the Registrant's Current Report on Form 8-K filed with the SEC on May 9, 2022).</w:t>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0"/>
              <w:jc w:val="center"/>
              <w:rPr/>
            </w:pPr>
            <w:r>
              <w:fldChar w:fldCharType="begin"/>
            </w:r>
            <w:r>
              <w:rPr>
                <w:rStyle w:val="InternetLink"/>
                <w:sz w:val="20"/>
                <w:u w:val="single"/>
                <w:b w:val="false"/>
                <w:rFonts w:ascii="Times New Roman;serif" w:hAnsi="Times New Roman;serif"/>
                <w:color w:val="0000FF"/>
              </w:rPr>
              <w:instrText xml:space="preserve"> HYPERLINK "https://www.sec.gov/ix?doc=/Archives/edgar/data/1057352/000119312526197205/d903159ddef14a.htm" \l "toc903159_62"</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*10.1</w:t>
            </w:r>
            <w:r>
              <w:rPr>
                <w:rStyle w:val="InternetLink"/>
                <w:sz w:val="20"/>
                <w:u w:val="single"/>
                <w:b w:val="false"/>
                <w:rFonts w:ascii="Times New Roman;serif" w:hAnsi="Times New Roman;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CoStar Group, Inc. 2026 Employee Stock Purchase Plan (Incorporated by reference to Appendix B to Registrant’s Definitive Proxy Statement on Schedule 14A filed with the SEC on April 30, 2026, File No. 000-24531).</w:t>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5">
              <w:r>
                <w:rPr>
                  <w:rStyle w:val="InternetLink"/>
                  <w:color w:val="0000FF"/>
                  <w:u w:val="single"/>
                </w:rPr>
                <w:t>†</w:t>
              </w:r>
            </w:hyperlink>
            <w:hyperlink r:id="rId6">
              <w:r>
                <w:rPr>
                  <w:rStyle w:val="InternetLink"/>
                  <w:rFonts w:ascii="Times New Roman;serif" w:hAnsi="Times New Roman;serif"/>
                  <w:b w:val="false"/>
                  <w:color w:val="0000FF"/>
                  <w:sz w:val="13"/>
                  <w:u w:val="single"/>
                </w:rPr>
                <w:t>#</w:t>
              </w:r>
            </w:hyperlink>
            <w:hyperlink r:id="rId7">
              <w:r>
                <w:rPr>
                  <w:rStyle w:val="InternetLink"/>
                  <w:rFonts w:ascii="Times New Roman;serif" w:hAnsi="Times New Roman;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Purchase Agreement, dated May 28, 2026, by and among Bora Holdings Group, L.P., Bora, Inc. and CoStar Realty Information, Inc. (Incorporated by reference to Exhibit 10.1 to the Registrant's Current Report on Form 8-K filed with the SEC on May 29, 2026).</w:t>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csgp-063026xex311.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 pursuant to Section 302 of the Sarbanes-Oxley Act of 2002 (filed herewith).</w:t>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csgp-063026xex312.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 pursuant to Section 302 of the Sarbanes-Oxley Act of 2002 (filed herewith).</w:t>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csgp-063026xex321.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 pursuant to 18 U.S.C. Sec. 1350, as adopted pursuant to Section 906 of the Sarbanes-Oxley Act of 2002 (furnished herewith).</w:t>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csgp-063026xex322.htm">
              <w:r>
                <w:rPr>
                  <w:rStyle w:val="InternetLink"/>
                  <w:rFonts w:ascii="Times New Roman;serif" w:hAnsi="Times New Roman;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 pursuant to 18 U.S.C. Sec. 1350, as adopted pursuant to Section 906 of the Sarbanes-Oxley Act of 2002 (furnished herewith).</w:t>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statements from the Company’s Quarterly Report on Form 10-Q for the quarterly period ended June 30, 2026, formatted in Inline XBRL: (i) Condensed Consolidated Statements of Operations; (ii) Condensed Consolidated Statements of Comprehensive Income; (iii) Condensed Consolidated Balance Sheets; (iv) Condensed Consolidated Statements of Changes in Stockholders’ Equity; (v) Condensed Consolidated Statements of Cash Flows; and (vi) Notes to Condensed Consolidated Financial Statements, tagged as blocks of text and including detailed tags.</w:t>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from the Registrant's Quarterly Report on Form 10-Q for the quarterly period ended June 30, 2026, formatted in Inline XBRL (included as Exhibit 101).</w:t>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Management Contract or Compensatory Plan or Arrangement.</w:t>
      </w:r>
    </w:p>
    <w:p>
      <w:pPr>
        <w:pStyle w:val="TextBody"/>
        <w:bidi w:val="0"/>
        <w:spacing w:lineRule="auto" w:line="288" w:before="200" w:after="200"/>
        <w:ind w:left="0" w:right="0" w:firstLine="360"/>
        <w:jc w:val="both"/>
        <w:rPr>
          <w:color w:val="000000"/>
        </w:rPr>
      </w:pPr>
      <w:r>
        <w:rPr>
          <w:color w:val="000000"/>
        </w:rPr>
        <w:t xml:space="preserve">† </w:t>
      </w:r>
      <w:r>
        <w:rPr>
          <w:rFonts w:ascii="Times New Roman;serif" w:hAnsi="Times New Roman;serif"/>
          <w:b w:val="false"/>
          <w:color w:val="000000"/>
          <w:sz w:val="20"/>
        </w:rPr>
        <w:t>Schedules and exhibits (or similar attachments) have been omitted from this exhibit pursuant to Item 601(a)(5) of Regulation S-K. The Company will furnish copies of any such schedules (or similar attachments) to the SEC upon request.</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Certain personal information in this exhibit has been omitted in accordance with Item 601(a)(6)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ind w:left="0" w:right="0" w:firstLine="3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ind w:left="0" w:right="0" w:firstLine="360"/>
        <w:jc w:val="both"/>
        <w:rPr>
          <w:color w:val="000000"/>
        </w:rPr>
      </w:pPr>
      <w:r>
        <w:rPr>
          <w:color w:val="000000"/>
        </w:rPr>
        <w:t> </w:t>
      </w: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200"/>
        <w:ind w:left="0" w:right="0" w:firstLine="360"/>
        <w:jc w:val="both"/>
        <w:rPr>
          <w:color w:val="000000"/>
        </w:rPr>
      </w:pPr>
      <w:r>
        <w:rPr>
          <w:color w:val="000000"/>
        </w:rPr>
        <w:t> </w:t>
      </w:r>
    </w:p>
    <w:tbl>
      <w:tblPr>
        <w:tblW w:w="7914"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229"/>
        <w:gridCol w:w="229"/>
        <w:gridCol w:w="229"/>
        <w:gridCol w:w="229"/>
        <w:gridCol w:w="229"/>
        <w:gridCol w:w="229"/>
        <w:gridCol w:w="1395"/>
        <w:gridCol w:w="1395"/>
        <w:gridCol w:w="198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144" w:type="dxa"/>
            <w:gridSpan w:val="9"/>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p>
            <w:pPr>
              <w:pStyle w:val="TableContents"/>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COSTAR GROUP, INC.</w:t>
            </w:r>
          </w:p>
          <w:p>
            <w:pPr>
              <w:pStyle w:val="TableContents"/>
              <w:bidi w:val="0"/>
              <w:spacing w:lineRule="auto" w:line="288" w:before="0" w:after="0"/>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68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 Christian M. Lown     </w:t>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8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Christian M. Lown</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(Principal Financial Officer and Duly Authorized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Andrew C. Florance, certify that: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CoStar Group, Inc.;</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600"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1410"/>
        <w:gridCol w:w="1410"/>
        <w:gridCol w:w="201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Andrew C. Florance</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Andrew C. Florance</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 and Duly Authorized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Christian M. Lown, certify that: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CoStar Group, Inc.;</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539"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1394"/>
        <w:gridCol w:w="1394"/>
        <w:gridCol w:w="198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Christian M. Lown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Christian M. Lown</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Duly Authorized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1201 Wilson Blvd.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Arlington, VA 22209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July 29,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100 F Street, NE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Re</w:t>
      </w:r>
      <w:r>
        <w:rPr>
          <w:rFonts w:ascii="Times New Roman;serif" w:hAnsi="Times New Roman;serif"/>
          <w:b/>
          <w:color w:val="000000"/>
          <w:sz w:val="20"/>
        </w:rPr>
        <w:t xml:space="preserve">: </w:t>
      </w:r>
      <w:r>
        <w:rPr>
          <w:rFonts w:ascii="Times New Roman;serif" w:hAnsi="Times New Roman;serif"/>
          <w:b/>
          <w:color w:val="000000"/>
          <w:sz w:val="20"/>
          <w:u w:val="single"/>
        </w:rPr>
        <w:t>Certification Of Principal Executive Officer Pursuant To 18 U.S.C. Sec. 1350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Dear Ladies and Gentlemen: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accompanying Quarterly Report on Form 10-Q of CoStar Group, Inc., for the quarter ended June 30, 2026, I, Andrew C. Florance, Chief Executive Officer of CoStar Group, Inc., hereby certify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such Quarterly Report on Form 10-Q of CoStar Group, Inc., for the quarter ended June 30, 2026, fully complies with the requirements of Section 13(a) or 15(d) of the Securities Exchange Act of 1934 (15 U.S.C. 78m or 78o(d)); and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such Quarterly Report on Form 10-Q of CoStar Group, Inc., for the quarter ended June 30, 2026, fairly presents, in all material respects, the financial condition and results of operations of CoStar Group, Inc.</w:t>
      </w:r>
    </w:p>
    <w:p>
      <w:pPr>
        <w:pStyle w:val="TextBody"/>
        <w:bidi w:val="0"/>
        <w:spacing w:before="0" w:after="0"/>
        <w:jc w:val="left"/>
        <w:rPr/>
      </w:pPr>
      <w:r>
        <w:rPr/>
      </w:r>
    </w:p>
    <w:tbl>
      <w:tblPr>
        <w:tblW w:w="5250" w:type="dxa"/>
        <w:jc w:val="right"/>
        <w:tblInd w:w="0" w:type="dxa"/>
        <w:tblLayout w:type="fixed"/>
        <w:tblCellMar>
          <w:top w:w="28" w:type="dxa"/>
          <w:left w:w="28" w:type="dxa"/>
          <w:bottom w:w="28" w:type="dxa"/>
          <w:right w:w="28" w:type="dxa"/>
        </w:tblCellMar>
      </w:tblPr>
      <w:tblGrid>
        <w:gridCol w:w="151"/>
        <w:gridCol w:w="134"/>
        <w:gridCol w:w="135"/>
        <w:gridCol w:w="1410"/>
        <w:gridCol w:w="1410"/>
        <w:gridCol w:w="2010"/>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C. Florance</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Andrew C. Florance</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 and Duly Authorized Officer)</w:t>
            </w:r>
          </w:p>
        </w:tc>
      </w:tr>
    </w:tbl>
    <w:p>
      <w:pPr>
        <w:pStyle w:val="TextBody"/>
        <w:bidi w:val="0"/>
        <w:spacing w:lineRule="auto" w:line="288" w:before="1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CoStar Group, Inc. and will be retained by CoStar Group, Inc. and furnished to the Securities and Exchange Commission or its staff upon request.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accordance with Item 601 of Regulation S-K, this certification is being “furnished” as Exhibit 32.1 to CoStar Group, Inc.'s quarterly report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1201 Wilson Blvd.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Arlington, VA 22209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July 29,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100 F Street, NE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Re</w:t>
      </w:r>
      <w:r>
        <w:rPr>
          <w:rFonts w:ascii="Times New Roman;serif" w:hAnsi="Times New Roman;serif"/>
          <w:b/>
          <w:color w:val="000000"/>
          <w:sz w:val="20"/>
        </w:rPr>
        <w:t xml:space="preserve">: </w:t>
      </w:r>
      <w:r>
        <w:rPr>
          <w:rFonts w:ascii="Times New Roman;serif" w:hAnsi="Times New Roman;serif"/>
          <w:b/>
          <w:color w:val="000000"/>
          <w:sz w:val="20"/>
          <w:u w:val="single"/>
        </w:rPr>
        <w:t>Certification Of Principal Financial Officer Pursuant To 18 U.S.C. Sec. 1350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Dear Ladies and Gentlemen: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accompanying Quarterly Report on Form 10-Q of CoStar Group, Inc., for the quarter ended June 30, 2026, I, Christian M. Lown, Chief Financial Officer of CoStar Group, Inc., hereby certify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such Quarterly Report on Form 10-Q of CoStar Group, Inc., for the quarter ended June 30, 2026, fully complies with the requirements of Section 13(a) or 15(d) of the Securities Exchange Act of 1934 (15 U.S.C. 78m or 78o(d)); and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such Quarterly Report on Form 10-Q of CoStar Group, Inc., for the quarter ended June 30, 2026, fairly presents, in all material respects, the financial condition and results of operations of CoStar Group, Inc.</w:t>
      </w:r>
    </w:p>
    <w:p>
      <w:pPr>
        <w:pStyle w:val="TextBody"/>
        <w:bidi w:val="0"/>
        <w:spacing w:before="0" w:after="0"/>
        <w:jc w:val="left"/>
        <w:rPr/>
      </w:pPr>
      <w:r>
        <w:rPr/>
      </w:r>
    </w:p>
    <w:tbl>
      <w:tblPr>
        <w:tblW w:w="5190" w:type="dxa"/>
        <w:jc w:val="right"/>
        <w:tblInd w:w="0" w:type="dxa"/>
        <w:tblLayout w:type="fixed"/>
        <w:tblCellMar>
          <w:top w:w="28" w:type="dxa"/>
          <w:left w:w="28" w:type="dxa"/>
          <w:bottom w:w="28" w:type="dxa"/>
          <w:right w:w="28" w:type="dxa"/>
        </w:tblCellMar>
      </w:tblPr>
      <w:tblGrid>
        <w:gridCol w:w="151"/>
        <w:gridCol w:w="134"/>
        <w:gridCol w:w="135"/>
        <w:gridCol w:w="1394"/>
        <w:gridCol w:w="1394"/>
        <w:gridCol w:w="1982"/>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Christian M. Lown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Christian M. Lown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Duly Authorized Officer)</w:t>
            </w:r>
          </w:p>
        </w:tc>
      </w:tr>
    </w:tbl>
    <w:p>
      <w:pPr>
        <w:pStyle w:val="TextBody"/>
        <w:bidi w:val="0"/>
        <w:spacing w:lineRule="auto" w:line="288" w:before="1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CoStar Group, Inc. and will be retained by CoStar Group, Inc. and furnished to the Securities and Exchange Commission or its staff upon request.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accordance with Item 601 of Regulation S-K, this certification is being “furnished” as Exhibit 32.2 to CoStar Group, Inc.'s quarterly report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057352/000105735221000074/ex31-fourtharcharter.htm" TargetMode="External"/><Relationship Id="rId4" Type="http://schemas.openxmlformats.org/officeDocument/2006/relationships/hyperlink" Target="https://www.sec.gov/Archives/edgar/data/1057352/000105735222000069/fourthamendedandrestatedby.htm" TargetMode="External"/><Relationship Id="rId5" Type="http://schemas.openxmlformats.org/officeDocument/2006/relationships/hyperlink" Target="https://www.sec.gov/Archives/edgar/data/1057352/000119312526246361/d91732dex101.htm" TargetMode="External"/><Relationship Id="rId6" Type="http://schemas.openxmlformats.org/officeDocument/2006/relationships/hyperlink" Target="https://www.sec.gov/Archives/edgar/data/1057352/000119312526246361/d91732dex101.htm" TargetMode="External"/><Relationship Id="rId7" Type="http://schemas.openxmlformats.org/officeDocument/2006/relationships/hyperlink" Target="https://www.sec.gov/Archives/edgar/data/1057352/000119312526246361/d91732dex10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33109</Words>
  <Characters>183455</Characters>
  <CharactersWithSpaces>214548</CharactersWithSpaces>
  <Paragraphs>3839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