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 October 27, 2026</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COSTAR GROUP,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22" w:lineRule="exact"/>
        <w:rPr>
          <w:sz w:val="24"/>
          <w:szCs w:val="24"/>
          <w:color w:val="auto"/>
        </w:rPr>
      </w:pPr>
    </w:p>
    <w:tbl>
      <w:tblPr>
        <w:tblLayout w:type="fixed"/>
        <w:tblInd w:w="10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17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0-24531</w:t>
            </w:r>
          </w:p>
        </w:tc>
        <w:tc>
          <w:tcPr>
            <w:tcW w:w="12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52-2091509</w:t>
            </w:r>
          </w:p>
        </w:tc>
        <w:tc>
          <w:tcPr>
            <w:tcW w:w="1600" w:type="dxa"/>
            <w:vAlign w:val="bottom"/>
          </w:tcPr>
          <w:p>
            <w:pPr>
              <w:spacing w:after="0"/>
              <w:rPr>
                <w:sz w:val="13"/>
                <w:szCs w:val="13"/>
                <w:color w:val="auto"/>
              </w:rPr>
            </w:pPr>
          </w:p>
        </w:tc>
      </w:tr>
      <w:tr>
        <w:trPr>
          <w:trHeight w:val="22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060" w:type="dxa"/>
            <w:vAlign w:val="bottom"/>
            <w:gridSpan w:val="3"/>
          </w:tcPr>
          <w:p>
            <w:pPr>
              <w:jc w:val="center"/>
              <w:ind w:left="69"/>
              <w:spacing w:after="0"/>
              <w:rPr>
                <w:sz w:val="20"/>
                <w:szCs w:val="20"/>
                <w:color w:val="auto"/>
              </w:rPr>
            </w:pPr>
            <w:r>
              <w:rPr>
                <w:rFonts w:ascii="Times New Roman" w:cs="Times New Roman" w:eastAsia="Times New Roman" w:hAnsi="Times New Roman"/>
                <w:sz w:val="14"/>
                <w:szCs w:val="14"/>
                <w:color w:val="auto"/>
              </w:rPr>
              <w:t>(Commission File Number)</w:t>
            </w:r>
          </w:p>
        </w:tc>
        <w:tc>
          <w:tcPr>
            <w:tcW w:w="4080" w:type="dxa"/>
            <w:vAlign w:val="bottom"/>
            <w:gridSpan w:val="3"/>
          </w:tcPr>
          <w:p>
            <w:pPr>
              <w:jc w:val="center"/>
              <w:ind w:left="10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19"/>
        </w:trPr>
        <w:tc>
          <w:tcPr>
            <w:tcW w:w="224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4"/>
                <w:szCs w:val="14"/>
                <w:color w:val="auto"/>
              </w:rPr>
              <w:t>1201 Wilson Blvd.</w:t>
            </w:r>
          </w:p>
        </w:tc>
        <w:tc>
          <w:tcPr>
            <w:tcW w:w="1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Arlington, VA</w:t>
            </w: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80" w:type="dxa"/>
            <w:vAlign w:val="bottom"/>
            <w:tcBorders>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22209</w:t>
            </w:r>
          </w:p>
        </w:tc>
        <w:tc>
          <w:tcPr>
            <w:tcW w:w="1600" w:type="dxa"/>
            <w:vAlign w:val="bottom"/>
            <w:tcBorders>
              <w:bottom w:val="single" w:sz="8" w:color="auto"/>
            </w:tcBorders>
          </w:tcPr>
          <w:p>
            <w:pPr>
              <w:spacing w:after="0"/>
              <w:rPr>
                <w:sz w:val="24"/>
                <w:szCs w:val="24"/>
                <w:color w:val="auto"/>
              </w:rPr>
            </w:pPr>
          </w:p>
        </w:tc>
      </w:tr>
      <w:tr>
        <w:trPr>
          <w:trHeight w:val="181"/>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7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4"/>
          <w:szCs w:val="14"/>
          <w:color w:val="auto"/>
        </w:rPr>
        <w:t>Registrant’s telephone number, including area code: (202) 346-6500</w:t>
      </w:r>
    </w:p>
    <w:p>
      <w:pPr>
        <w:spacing w:after="0" w:line="136"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4"/>
          <w:szCs w:val="14"/>
          <w:u w:val="single" w:color="auto"/>
          <w:color w:val="auto"/>
        </w:rPr>
        <w:t>Not Applicable</w:t>
      </w:r>
    </w:p>
    <w:p>
      <w:pPr>
        <w:spacing w:after="0" w:line="30"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04"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04"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14"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351"/>
        </w:trPr>
        <w:tc>
          <w:tcPr>
            <w:tcW w:w="19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60" w:type="dxa"/>
            <w:vAlign w:val="bottom"/>
          </w:tcPr>
          <w:p>
            <w:pPr>
              <w:spacing w:after="0"/>
              <w:rPr>
                <w:sz w:val="24"/>
                <w:szCs w:val="24"/>
                <w:color w:val="auto"/>
              </w:rPr>
            </w:pPr>
          </w:p>
        </w:tc>
        <w:tc>
          <w:tcPr>
            <w:tcW w:w="316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9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r>
        <w:trPr>
          <w:trHeight w:val="202"/>
        </w:trPr>
        <w:tc>
          <w:tcPr>
            <w:tcW w:w="4300" w:type="dxa"/>
            <w:vAlign w:val="bottom"/>
            <w:gridSpan w:val="3"/>
          </w:tcPr>
          <w:p>
            <w:pPr>
              <w:jc w:val="center"/>
              <w:ind w:left="649"/>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860" w:type="dxa"/>
            <w:vAlign w:val="bottom"/>
          </w:tcPr>
          <w:p>
            <w:pPr>
              <w:spacing w:after="0"/>
              <w:rPr>
                <w:sz w:val="17"/>
                <w:szCs w:val="17"/>
                <w:color w:val="auto"/>
              </w:rPr>
            </w:pPr>
          </w:p>
        </w:tc>
        <w:tc>
          <w:tcPr>
            <w:tcW w:w="230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color w:val="auto"/>
              </w:rPr>
              <w:t>CSGP</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262" w:lineRule="exact"/>
        <w:rPr>
          <w:sz w:val="24"/>
          <w:szCs w:val="24"/>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4" w:lineRule="exact"/>
        <w:rPr>
          <w:sz w:val="24"/>
          <w:szCs w:val="24"/>
          <w:color w:val="auto"/>
        </w:rPr>
      </w:pPr>
    </w:p>
    <w:p>
      <w:pPr>
        <w:ind w:left="952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242" w:lineRule="exact"/>
        <w:rPr>
          <w:sz w:val="24"/>
          <w:szCs w:val="24"/>
          <w:color w:val="auto"/>
        </w:rPr>
      </w:pPr>
    </w:p>
    <w:p>
      <w:pPr>
        <w:ind w:right="220"/>
        <w:spacing w:after="0" w:line="256"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rPr>
          <w:sz w:val="20"/>
          <w:szCs w:val="20"/>
          <w:color w:val="auto"/>
        </w:rPr>
      </w:pP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1283335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7" w:right="319" w:bottom="1440" w:gutter="0" w:footer="0" w:header="0"/>
        </w:sectPr>
      </w:pPr>
    </w:p>
    <w:bookmarkStart w:id="1" w:name="page2"/>
    <w:bookmarkEnd w:id="1"/>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1.01</w:t>
        <w:tab/>
        <w:t>Entry into Material Definitive Agreement.</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October 27, 2026, CoStar Group, Inc. (“CoStar Group” or the “Company”), through its wholly owned subsidiaries, CoStar Realty Information, Inc., a Delaware corporation and Velocity Merger Sub, Inc, a Delaware corporation, entered into an Agreement and Plan of Merger (the “Merger Agreement”) with Vexcel Group, Inc. a Delaware corporation (together with its subsidiaries, “Vexcel”), and Fortis Advisors LLC, a Delaware limited liability company, solely in its capacity as the stockholder representative, to acquire Vexcel, a leading provider of comprehensive aerial imagery and geospatial data programs, for $730 million in cash, subject to customary working capital and other post-closing adjustments (the “Transaction”).</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Consummation of the Transaction is subject to certain customary conditions, including, among others: expiration or termination of the applicable waiting periods under the Hart-Scott-Rodino Antitrust Improvements Act of 1976, and certain other foreign regulatory laws, the absence of any government, order, decree, ruling, injunction, or law prohibiting or making illegal the consummation of the Transaction. Each party’s obligation to consummate the Transaction is subject to certain other conditions, including the accuracy of the representations and warranties of the other party and compliance in all material respects by the other party with its obligations under the Merger Agreement, and CoStar Group’s obligation to consummate the Transaction is subject to the absence of a material adverse effect related to Vexcel. Consummation of the Transaction is not subject to approval by the stockholders of CoStar Group or to any financing condition.</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Merger Agreement contains certain termination provisions for CoStar Group and Vexcel, including the right of either party to terminate the Merger Agreement if the Transaction is not consummated by July 27, 2027 (subject to extension in certain specified circumstances), or if any governmental authority shall have issued an order, decree or ruling or taken any other action permanently enjoining, restraining or otherwise prohibiting the Transaction, and such order, decree or ruling shall have become final and nonappealable.</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representations, warranties and covenants of each party set forth in the Merger Agreement have been made only for the purposes of, and were and are solely for the benefit of the parties to, the Merger Agreement, and may be subject to limitations agreed upon by the contracting parties. Accordingly, the representations and warranties may not describe the actual state of affairs at the date they were made or at any other time, and investors should not rely on them as statements of fact. In addition, such representations and warranties will not survive consummation of the Transaction and were made only as of the date of the Merger Agreement or such other date as is specified in the Merger Agreement.</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foregoing summary of the Merger Agreement does not purport to be complete and is qualified in its entirety by reference to the full text of the Merger Agreement, a copy of which is attached hereto as Exhibit 10.1 and is incorporated herein by reference.</w:t>
      </w:r>
    </w:p>
    <w:p>
      <w:pPr>
        <w:spacing w:after="0" w:line="1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2.02</w:t>
        <w:tab/>
        <w:t>Results of Operations and Financial Condition.</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October 27, 2026, the Company announced its financial and operating results for the quarter ended September 30, 2026. The full text of the press release (the “Earnings Release”) issued in connection with the announcement is furnished as Exhibit 99.1 to this Current Report on Form 8-K.</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information contained in this Item 2.02 and the Earnings Press Release shall be considered "furnished" and shall not be deemed "filed" for purposes of Section 18 of the Securities Exchange Act of 1934, as amended (the "Exchange Act"), or otherwise subject to the liabilities of that Section or Sections 11 and 12(a)(2) of the Securities Act of 1933, as amended (the "Securities Act"), nor shall it be deemed incorporated by reference into any reports or filings with the Securities and Exchange Commission (the "SEC"), whether made before or after the date hereof, except as expressly set forth by specific reference in such a filing.</w:t>
      </w:r>
    </w:p>
    <w:p>
      <w:pPr>
        <w:spacing w:after="0" w:line="16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7.01</w:t>
        <w:tab/>
        <w:t>Regulation FD Disclosure.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October 27, 2026, the Company issued a press release announcing the entry into the Merger Agreement to acquire Vexcel (the "Press Release"). A copy of the Press Release is attached hereto as Exhibit 99.2 and is incorporated by reference herein.</w:t>
      </w:r>
    </w:p>
    <w:p>
      <w:pPr>
        <w:spacing w:after="0" w:line="1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information contained in this Item 7.01 and the Press Release shall be considered “furnished” and shall not be deemed “filed” for purposes of Section 18 of the Exchange Act, or otherwise subject to the liabilities of that Section or Sections 11 and 12(a)(2) of the Securities Act, nor shall it be deemed incorporated by reference into any reports or filings with the SEC, whether made before or after the date hereof,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773430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2" w:name="page3"/>
    <w:bookmarkEnd w:id="2"/>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97"/>
              </w:rPr>
              <w:t>Exhibit No.</w:t>
            </w:r>
          </w:p>
        </w:tc>
        <w:tc>
          <w:tcPr>
            <w:tcW w:w="1520" w:type="dxa"/>
            <w:vAlign w:val="bottom"/>
          </w:tcPr>
          <w:p>
            <w:pPr>
              <w:spacing w:after="0"/>
              <w:rPr>
                <w:sz w:val="13"/>
                <w:szCs w:val="13"/>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7"/>
              </w:rPr>
              <w:t>Description</w:t>
            </w:r>
          </w:p>
        </w:tc>
        <w:tc>
          <w:tcPr>
            <w:tcW w:w="84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Agreement and Plan of Merger dated as of October 27, 2026 among CoStar Realty Information, Inc., Velocity Merger Sub, Inc., Vexcel Group, Inc. and</w:t>
            </w:r>
          </w:p>
        </w:tc>
      </w:tr>
      <w:tr>
        <w:trPr>
          <w:trHeight w:val="159"/>
        </w:trPr>
        <w:tc>
          <w:tcPr>
            <w:tcW w:w="68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00"/>
              </w:rPr>
              <w:t>*</w:t>
            </w:r>
          </w:p>
        </w:tc>
        <w:tc>
          <w:tcPr>
            <w:tcW w:w="1520" w:type="dxa"/>
            <w:vAlign w:val="bottom"/>
          </w:tcPr>
          <w:p>
            <w:pPr>
              <w:spacing w:after="0"/>
              <w:rPr>
                <w:sz w:val="13"/>
                <w:szCs w:val="13"/>
                <w:color w:val="auto"/>
              </w:rPr>
            </w:pPr>
          </w:p>
        </w:tc>
        <w:tc>
          <w:tcPr>
            <w:tcW w:w="908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Fortis Advisors LLC.</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80" w:type="dxa"/>
            <w:vAlign w:val="bottom"/>
            <w:gridSpan w:val="2"/>
          </w:tcPr>
          <w:p>
            <w:pPr>
              <w:spacing w:after="0" w:line="20" w:lineRule="exact"/>
              <w:rPr>
                <w:sz w:val="1"/>
                <w:szCs w:val="1"/>
                <w:color w:val="auto"/>
              </w:rPr>
            </w:pPr>
          </w:p>
        </w:tc>
      </w:tr>
      <w:tr>
        <w:trPr>
          <w:trHeight w:val="171"/>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99.</w:t>
            </w:r>
            <w:r>
              <w:rPr>
                <w:rFonts w:ascii="Times New Roman" w:cs="Times New Roman" w:eastAsia="Times New Roman" w:hAnsi="Times New Roman"/>
                <w:sz w:val="14"/>
                <w:szCs w:val="14"/>
                <w:u w:val="single" w:color="auto"/>
                <w:color w:val="0000FF"/>
                <w:w w:val="89"/>
              </w:rPr>
              <w:t>1</w:t>
            </w: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CoStar Group, Inc. Earnings Release dated October 27, 2026.</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80" w:type="dxa"/>
            <w:vAlign w:val="bottom"/>
            <w:gridSpan w:val="2"/>
          </w:tcPr>
          <w:p>
            <w:pPr>
              <w:spacing w:after="0" w:line="20" w:lineRule="exact"/>
              <w:rPr>
                <w:sz w:val="1"/>
                <w:szCs w:val="1"/>
                <w:color w:val="auto"/>
              </w:rPr>
            </w:pPr>
          </w:p>
        </w:tc>
      </w:tr>
      <w:tr>
        <w:trPr>
          <w:trHeight w:val="171"/>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99.</w:t>
            </w:r>
            <w:r>
              <w:rPr>
                <w:rFonts w:ascii="Times New Roman" w:cs="Times New Roman" w:eastAsia="Times New Roman" w:hAnsi="Times New Roman"/>
                <w:sz w:val="14"/>
                <w:szCs w:val="14"/>
                <w:u w:val="single" w:color="auto"/>
                <w:color w:val="0000FF"/>
                <w:w w:val="89"/>
              </w:rPr>
              <w:t>2</w:t>
            </w: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CoStar Group, Inc. Press Release dated October 27, 2026.</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80" w:type="dxa"/>
            <w:vAlign w:val="bottom"/>
            <w:gridSpan w:val="2"/>
          </w:tcPr>
          <w:p>
            <w:pPr>
              <w:spacing w:after="0" w:line="20" w:lineRule="exact"/>
              <w:rPr>
                <w:sz w:val="1"/>
                <w:szCs w:val="1"/>
                <w:color w:val="auto"/>
              </w:rPr>
            </w:pPr>
          </w:p>
        </w:tc>
      </w:tr>
      <w:tr>
        <w:trPr>
          <w:trHeight w:val="202"/>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r>
        <w:trPr>
          <w:trHeight w:val="149"/>
        </w:trPr>
        <w:tc>
          <w:tcPr>
            <w:tcW w:w="2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Schedules and exhibits (or similar attachments) have been omitted from this exhibit pursuant to Item 601(a)(5) of Regulation S-K. The Company will</w:t>
            </w: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furnish copies of any such schedules (or similar attachments) to the SEC upon request.</w:t>
            </w:r>
          </w:p>
        </w:tc>
      </w:tr>
      <w:tr>
        <w:trPr>
          <w:trHeight w:val="963"/>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 w:name="page4"/>
    <w:bookmarkEnd w:id="3"/>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COSTAR GROUP, INC.</w:t>
            </w:r>
          </w:p>
        </w:tc>
      </w:tr>
      <w:tr>
        <w:trPr>
          <w:trHeight w:val="393"/>
        </w:trPr>
        <w:tc>
          <w:tcPr>
            <w:tcW w:w="4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By: /s/ Robin Rossmann</w:t>
            </w:r>
          </w:p>
        </w:tc>
      </w:tr>
      <w:tr>
        <w:trPr>
          <w:trHeight w:val="182"/>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49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October 27, 2026</w:t>
            </w: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Robin Rossmann</w:t>
            </w:r>
          </w:p>
        </w:tc>
      </w:tr>
      <w:tr>
        <w:trPr>
          <w:trHeight w:val="191"/>
        </w:trPr>
        <w:tc>
          <w:tcPr>
            <w:tcW w:w="4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Financial Officer</w:t>
            </w:r>
          </w:p>
        </w:tc>
      </w:tr>
    </w:tbl>
    <w:p>
      <w:pPr>
        <w:sectPr>
          <w:pgSz w:w="11900" w:h="16838" w:orient="portrait"/>
          <w:cols w:equalWidth="0" w:num="1">
            <w:col w:w="10580"/>
          </w:cols>
          <w:pgMar w:left="320" w:top="728" w:right="99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8" w:name="page99"/>
    <w:bookmarkEnd w:id="98"/>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2021205" cy="4044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21205" cy="404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320" w:right="2460"/>
        <w:spacing w:after="0" w:line="247" w:lineRule="auto"/>
        <w:rPr>
          <w:sz w:val="20"/>
          <w:szCs w:val="20"/>
          <w:color w:val="auto"/>
        </w:rPr>
      </w:pPr>
      <w:r>
        <w:rPr>
          <w:rFonts w:ascii="Times New Roman" w:cs="Times New Roman" w:eastAsia="Times New Roman" w:hAnsi="Times New Roman"/>
          <w:sz w:val="20"/>
          <w:szCs w:val="20"/>
          <w:b w:val="1"/>
          <w:bCs w:val="1"/>
          <w:color w:val="auto"/>
        </w:rPr>
        <w:t>CoStar Group Reports Record Third Quarter Revenue of $952 Million; Profitability Surges with Net Income of $74 Million; Highest Ever Adjusted EBITDA of $229 Million, Doubling Year-over-Year; Raises Full-Year 2026 Adjusted EBITDA Guidance</w:t>
      </w:r>
    </w:p>
    <w:p>
      <w:pPr>
        <w:spacing w:after="0" w:line="16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ARLINGTON, VA – October 27, 2026 - CoStar Group, Inc. (NASDAQ: CSGP), a leading global provider of online real estate marketplaces, information, analytics, and 3D digital twin technology in the property markets, announced today that revenue for the quarter ended September 30, 2026 was $952 million, up 14% over revenue of $834 million for the quarter ended September 30, 2025. Net new bookings were $37 million for the quarter.</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Net income for the third quarter of 2026 was $74 million, up $105 million year-over-year. Earnings per diluted share was $0.18 for the third quarter of 2026. Adjusted Net Income rose to $153 million in the third quarter, up 59% year-over-year. Adjusted EPS was $0.38 in the third quarter, up 65% year-over-year. EBITDA was $179 million, up $166 million year-over-year. Adjusted EBITDA was $229 million in the third quarter of 2026, doubling from the prior year period.</w:t>
      </w:r>
    </w:p>
    <w:p>
      <w:pPr>
        <w:spacing w:after="0" w:line="11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“CoStar Group generated outstanding profitability growth in the third quarter, delivering on our commitment to expand margins as we exit a period of investment,” said Andy Florance, Founder and Chief Executive Officer of CoStar Group. “Adjusted EBITDA doubled year-over-year and was considerably above the high end of our $190 million to $210 million guidance range. We achieved significant additional efficiencies in the quarter, bringing total anticipated cost savings this year to approximately $150 million versus our original guidance. Our ongoing deep expense review has identified potential additional savings of at least $200 million that we believe will improve efficiency without sacrificing revenue growth. We expect to realize these over the next 12 to 18 months, keeping us on track to achieve our 2028 Adjusted EBITDA target of $1.25 billion.”</w:t>
      </w:r>
    </w:p>
    <w:p>
      <w:pPr>
        <w:spacing w:after="0" w:line="14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Florance continued, “We are demonstrating our ability to meaningfully grow profitability and are confident in our strategy to fuel future growth. We are leveraging AI and our proprietary ground truth data, giving us a unique competitive advantage in providing value to our information clients. Furthermore, our global scale enables us to deliver best-in-class consumer-facing AI functionality on our marketplaces at significantly lower costs than our competitors. Our acquisition of Zonda and agreement to acquire Vexcel demonstrate our ability to further enhance our proprietary datasets and global scale, which are real differentiators in the world of AI.”</w:t>
      </w:r>
    </w:p>
    <w:p>
      <w:pPr>
        <w:sectPr>
          <w:pgSz w:w="11900" w:h="16838" w:orient="portrait"/>
          <w:cols w:equalWidth="0" w:num="1">
            <w:col w:w="11280"/>
          </w:cols>
          <w:pgMar w:left="300" w:top="723" w:right="3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67"/>
        </w:trPr>
        <w:tc>
          <w:tcPr>
            <w:tcW w:w="3380" w:type="dxa"/>
            <w:vAlign w:val="bottom"/>
          </w:tcPr>
          <w:p>
            <w:pPr>
              <w:spacing w:after="0"/>
              <w:rPr>
                <w:sz w:val="14"/>
                <w:szCs w:val="14"/>
                <w:color w:val="auto"/>
              </w:rPr>
            </w:pPr>
          </w:p>
        </w:tc>
        <w:tc>
          <w:tcPr>
            <w:tcW w:w="4060" w:type="dxa"/>
            <w:vAlign w:val="bottom"/>
            <w:gridSpan w:val="8"/>
          </w:tcPr>
          <w:p>
            <w:pPr>
              <w:jc w:val="center"/>
              <w:ind w:left="396"/>
              <w:spacing w:after="0"/>
              <w:rPr>
                <w:sz w:val="20"/>
                <w:szCs w:val="20"/>
                <w:color w:val="auto"/>
              </w:rPr>
            </w:pPr>
            <w:r>
              <w:rPr>
                <w:rFonts w:ascii="Times New Roman" w:cs="Times New Roman" w:eastAsia="Times New Roman" w:hAnsi="Times New Roman"/>
                <w:sz w:val="13"/>
                <w:szCs w:val="13"/>
                <w:b w:val="1"/>
                <w:bCs w:val="1"/>
                <w:color w:val="auto"/>
                <w:w w:val="97"/>
              </w:rPr>
              <w:t>Year 2025-2026 Quarterly Results - Unaudited</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2"/>
        </w:trPr>
        <w:tc>
          <w:tcPr>
            <w:tcW w:w="3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120" w:type="dxa"/>
            <w:vAlign w:val="bottom"/>
            <w:gridSpan w:val="5"/>
          </w:tcPr>
          <w:p>
            <w:pPr>
              <w:jc w:val="center"/>
              <w:ind w:left="96"/>
              <w:spacing w:after="0"/>
              <w:rPr>
                <w:sz w:val="20"/>
                <w:szCs w:val="20"/>
                <w:color w:val="auto"/>
              </w:rPr>
            </w:pPr>
            <w:r>
              <w:rPr>
                <w:rFonts w:ascii="Times New Roman" w:cs="Times New Roman" w:eastAsia="Times New Roman" w:hAnsi="Times New Roman"/>
                <w:sz w:val="13"/>
                <w:szCs w:val="13"/>
                <w:color w:val="auto"/>
                <w:w w:val="97"/>
              </w:rPr>
              <w:t>(in millions, except per share data)</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9"/>
        </w:trPr>
        <w:tc>
          <w:tcPr>
            <w:tcW w:w="3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2025</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940" w:type="dxa"/>
            <w:vAlign w:val="bottom"/>
            <w:tcBorders>
              <w:bottom w:val="single" w:sz="8" w:color="auto"/>
            </w:tcBorders>
          </w:tcPr>
          <w:p>
            <w:pPr>
              <w:spacing w:after="0"/>
              <w:rPr>
                <w:sz w:val="18"/>
                <w:szCs w:val="18"/>
                <w:color w:val="auto"/>
              </w:rPr>
            </w:pPr>
          </w:p>
        </w:tc>
      </w:tr>
      <w:tr>
        <w:trPr>
          <w:trHeight w:val="192"/>
        </w:trPr>
        <w:tc>
          <w:tcPr>
            <w:tcW w:w="3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Q1</w:t>
            </w: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Q2</w:t>
            </w: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Q3</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Q4</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Q1</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Q2</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Q3</w:t>
            </w:r>
          </w:p>
        </w:tc>
      </w:tr>
      <w:tr>
        <w:trPr>
          <w:trHeight w:val="189"/>
        </w:trPr>
        <w:tc>
          <w:tcPr>
            <w:tcW w:w="3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20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2000" w:type="dxa"/>
            <w:vAlign w:val="bottom"/>
            <w:gridSpan w:val="2"/>
            <w:shd w:val="clear" w:color="auto" w:fill="CCEEFF"/>
          </w:tcPr>
          <w:p>
            <w:pPr>
              <w:jc w:val="center"/>
              <w:ind w:left="1056"/>
              <w:spacing w:after="0"/>
              <w:rPr>
                <w:sz w:val="20"/>
                <w:szCs w:val="20"/>
                <w:color w:val="auto"/>
              </w:rPr>
            </w:pPr>
            <w:r>
              <w:rPr>
                <w:rFonts w:ascii="Times New Roman" w:cs="Times New Roman" w:eastAsia="Times New Roman" w:hAnsi="Times New Roman"/>
                <w:sz w:val="13"/>
                <w:szCs w:val="13"/>
                <w:color w:val="auto"/>
                <w:w w:val="92"/>
              </w:rPr>
              <w:t>$732</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$781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3"/>
                <w:szCs w:val="13"/>
                <w:color w:val="auto"/>
                <w:w w:val="99"/>
              </w:rPr>
              <w:t>$834</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$900</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$897</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$925</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$952</w:t>
            </w:r>
          </w:p>
        </w:tc>
      </w:tr>
      <w:tr>
        <w:trPr>
          <w:trHeight w:val="194"/>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2000" w:type="dxa"/>
            <w:vAlign w:val="bottom"/>
            <w:gridSpan w:val="2"/>
          </w:tcPr>
          <w:p>
            <w:pPr>
              <w:jc w:val="center"/>
              <w:ind w:left="1056"/>
              <w:spacing w:after="0"/>
              <w:rPr>
                <w:sz w:val="20"/>
                <w:szCs w:val="20"/>
                <w:color w:val="auto"/>
              </w:rPr>
            </w:pPr>
            <w:r>
              <w:rPr>
                <w:rFonts w:ascii="Times New Roman" w:cs="Times New Roman" w:eastAsia="Times New Roman" w:hAnsi="Times New Roman"/>
                <w:sz w:val="13"/>
                <w:szCs w:val="13"/>
                <w:color w:val="auto"/>
                <w:w w:val="99"/>
              </w:rPr>
              <w:t>$(15)</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center"/>
              <w:ind w:right="96"/>
              <w:spacing w:after="0"/>
              <w:rPr>
                <w:sz w:val="20"/>
                <w:szCs w:val="20"/>
                <w:color w:val="auto"/>
              </w:rPr>
            </w:pPr>
            <w:r>
              <w:rPr>
                <w:rFonts w:ascii="Times New Roman" w:cs="Times New Roman" w:eastAsia="Times New Roman" w:hAnsi="Times New Roman"/>
                <w:sz w:val="13"/>
                <w:szCs w:val="13"/>
                <w:color w:val="auto"/>
                <w:w w:val="99"/>
              </w:rPr>
              <w:t>$(31)</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$55</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$74</w:t>
            </w:r>
          </w:p>
        </w:tc>
      </w:tr>
      <w:tr>
        <w:trPr>
          <w:trHeight w:val="24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Earnings per share - diluted</w:t>
            </w:r>
          </w:p>
        </w:tc>
        <w:tc>
          <w:tcPr>
            <w:tcW w:w="2000" w:type="dxa"/>
            <w:vAlign w:val="bottom"/>
            <w:gridSpan w:val="2"/>
            <w:shd w:val="clear" w:color="auto" w:fill="CCEEFF"/>
          </w:tcPr>
          <w:p>
            <w:pPr>
              <w:jc w:val="center"/>
              <w:ind w:left="1056"/>
              <w:spacing w:after="0"/>
              <w:rPr>
                <w:sz w:val="20"/>
                <w:szCs w:val="20"/>
                <w:color w:val="auto"/>
              </w:rPr>
            </w:pPr>
            <w:r>
              <w:rPr>
                <w:rFonts w:ascii="Times New Roman" w:cs="Times New Roman" w:eastAsia="Times New Roman" w:hAnsi="Times New Roman"/>
                <w:sz w:val="13"/>
                <w:szCs w:val="13"/>
                <w:color w:val="auto"/>
                <w:w w:val="94"/>
              </w:rPr>
              <w:t>$(0.04)</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$0.01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center"/>
              <w:ind w:right="96"/>
              <w:spacing w:after="0"/>
              <w:rPr>
                <w:sz w:val="20"/>
                <w:szCs w:val="20"/>
                <w:color w:val="auto"/>
              </w:rPr>
            </w:pPr>
            <w:r>
              <w:rPr>
                <w:rFonts w:ascii="Times New Roman" w:cs="Times New Roman" w:eastAsia="Times New Roman" w:hAnsi="Times New Roman"/>
                <w:sz w:val="13"/>
                <w:szCs w:val="13"/>
                <w:color w:val="auto"/>
                <w:w w:val="94"/>
              </w:rPr>
              <w:t>$(0.07)</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$0.11</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$0.01</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$0.14</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$0.18</w:t>
            </w:r>
          </w:p>
        </w:tc>
      </w:tr>
      <w:tr>
        <w:trPr>
          <w:trHeight w:val="226"/>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Weighted-average outstanding shares - diluted</w:t>
            </w:r>
          </w:p>
        </w:tc>
        <w:tc>
          <w:tcPr>
            <w:tcW w:w="2000" w:type="dxa"/>
            <w:vAlign w:val="bottom"/>
            <w:gridSpan w:val="2"/>
          </w:tcPr>
          <w:p>
            <w:pPr>
              <w:jc w:val="center"/>
              <w:ind w:left="1056"/>
              <w:spacing w:after="0"/>
              <w:rPr>
                <w:sz w:val="20"/>
                <w:szCs w:val="20"/>
                <w:color w:val="auto"/>
              </w:rPr>
            </w:pPr>
            <w:r>
              <w:rPr>
                <w:rFonts w:ascii="Times New Roman" w:cs="Times New Roman" w:eastAsia="Times New Roman" w:hAnsi="Times New Roman"/>
                <w:sz w:val="13"/>
                <w:szCs w:val="13"/>
                <w:color w:val="auto"/>
              </w:rPr>
              <w:t>411</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96"/>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420</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414</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404</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402</w:t>
            </w:r>
          </w:p>
        </w:tc>
      </w:tr>
      <w:tr>
        <w:trPr>
          <w:trHeight w:val="209"/>
        </w:trPr>
        <w:tc>
          <w:tcPr>
            <w:tcW w:w="3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4"/>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EBITDA</w:t>
            </w:r>
          </w:p>
        </w:tc>
        <w:tc>
          <w:tcPr>
            <w:tcW w:w="2000" w:type="dxa"/>
            <w:vAlign w:val="bottom"/>
            <w:gridSpan w:val="2"/>
          </w:tcPr>
          <w:p>
            <w:pPr>
              <w:jc w:val="center"/>
              <w:ind w:left="1056"/>
              <w:spacing w:after="0"/>
              <w:rPr>
                <w:sz w:val="20"/>
                <w:szCs w:val="20"/>
                <w:color w:val="auto"/>
              </w:rPr>
            </w:pPr>
            <w:r>
              <w:rPr>
                <w:rFonts w:ascii="Times New Roman" w:cs="Times New Roman" w:eastAsia="Times New Roman" w:hAnsi="Times New Roman"/>
                <w:sz w:val="13"/>
                <w:szCs w:val="13"/>
                <w:color w:val="auto"/>
                <w:w w:val="92"/>
              </w:rPr>
              <w:t>$(1)</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center"/>
              <w:ind w:right="96"/>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$129</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$157</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$179</w:t>
            </w:r>
          </w:p>
        </w:tc>
      </w:tr>
      <w:tr>
        <w:trPr>
          <w:trHeight w:val="20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2000" w:type="dxa"/>
            <w:vAlign w:val="bottom"/>
            <w:gridSpan w:val="2"/>
            <w:shd w:val="clear" w:color="auto" w:fill="CCEEFF"/>
          </w:tcPr>
          <w:p>
            <w:pPr>
              <w:jc w:val="center"/>
              <w:ind w:left="1056"/>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96"/>
              <w:spacing w:after="0"/>
              <w:rPr>
                <w:sz w:val="20"/>
                <w:szCs w:val="20"/>
                <w:color w:val="auto"/>
              </w:rPr>
            </w:pPr>
            <w:r>
              <w:rPr>
                <w:rFonts w:ascii="Times New Roman" w:cs="Times New Roman" w:eastAsia="Times New Roman" w:hAnsi="Times New Roman"/>
                <w:sz w:val="13"/>
                <w:szCs w:val="13"/>
                <w:color w:val="auto"/>
                <w:w w:val="92"/>
              </w:rPr>
              <w:t>$114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$177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$132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$184</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$229</w:t>
            </w:r>
          </w:p>
        </w:tc>
      </w:tr>
      <w:tr>
        <w:trPr>
          <w:trHeight w:val="194"/>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Net Income</w:t>
            </w:r>
          </w:p>
        </w:tc>
        <w:tc>
          <w:tcPr>
            <w:tcW w:w="2000" w:type="dxa"/>
            <w:vAlign w:val="bottom"/>
            <w:gridSpan w:val="2"/>
          </w:tcPr>
          <w:p>
            <w:pPr>
              <w:jc w:val="center"/>
              <w:ind w:left="1056"/>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center"/>
              <w:ind w:right="96"/>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$131</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$128</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$153</w:t>
            </w:r>
          </w:p>
        </w:tc>
      </w:tr>
      <w:tr>
        <w:trPr>
          <w:trHeight w:val="24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EPS</w:t>
            </w:r>
          </w:p>
        </w:tc>
        <w:tc>
          <w:tcPr>
            <w:tcW w:w="2000" w:type="dxa"/>
            <w:vAlign w:val="bottom"/>
            <w:gridSpan w:val="2"/>
            <w:shd w:val="clear" w:color="auto" w:fill="CCEEFF"/>
          </w:tcPr>
          <w:p>
            <w:pPr>
              <w:jc w:val="center"/>
              <w:ind w:left="1056"/>
              <w:spacing w:after="0"/>
              <w:rPr>
                <w:sz w:val="20"/>
                <w:szCs w:val="20"/>
                <w:color w:val="auto"/>
              </w:rPr>
            </w:pPr>
            <w:r>
              <w:rPr>
                <w:rFonts w:ascii="Times New Roman" w:cs="Times New Roman" w:eastAsia="Times New Roman" w:hAnsi="Times New Roman"/>
                <w:sz w:val="13"/>
                <w:szCs w:val="13"/>
                <w:color w:val="auto"/>
                <w:w w:val="95"/>
              </w:rPr>
              <w:t>$0.15</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$0.17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center"/>
              <w:ind w:right="96"/>
              <w:spacing w:after="0"/>
              <w:rPr>
                <w:sz w:val="20"/>
                <w:szCs w:val="20"/>
                <w:color w:val="auto"/>
              </w:rPr>
            </w:pPr>
            <w:r>
              <w:rPr>
                <w:rFonts w:ascii="Times New Roman" w:cs="Times New Roman" w:eastAsia="Times New Roman" w:hAnsi="Times New Roman"/>
                <w:sz w:val="13"/>
                <w:szCs w:val="13"/>
                <w:color w:val="auto"/>
                <w:w w:val="95"/>
              </w:rPr>
              <w:t>$0.23</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$0.31</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$0.23</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$0.32</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$0.38</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2026 Outlook</w:t>
      </w:r>
    </w:p>
    <w:p>
      <w:pPr>
        <w:spacing w:after="0" w:line="14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 xml:space="preserve">The Company is increasing its Adjusted EBITDA guidance for the full year of </w:t>
      </w:r>
      <w:r>
        <w:rPr>
          <w:rFonts w:ascii="Times New Roman" w:cs="Times New Roman" w:eastAsia="Times New Roman" w:hAnsi="Times New Roman"/>
          <w:sz w:val="15"/>
          <w:szCs w:val="15"/>
          <w:color w:val="auto"/>
        </w:rPr>
        <w:t>2026 to a range of $820 million to $840 million, which represents an increase of $30 million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the midpoint of the range from its guidance in July 2026, and a cumulative $60 million increase at the midpoint from its guidance in February 2026. For the fourth quarter of 2026, the Company expects Adjusted EBITDA in the range of $275 million to $295 million, representing a margin of 29% at the midpoint of the range.</w:t>
      </w:r>
    </w:p>
    <w:p>
      <w:pPr>
        <w:spacing w:after="0" w:line="1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Company is increasing its revenue guidance for 2026 to a range of $3.75 billion to $3.77 billion, representing revenue growth of approximately 16% year-over-year at the midpoint of the range. The Company expects revenue for the fourth quarter of 2026 in the range of $976 million to $996 million, representing revenue growth of approximately 10% year-over-year at the midpoint of the range.</w:t>
      </w:r>
    </w:p>
    <w:p>
      <w:pPr>
        <w:spacing w:after="0" w:line="1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Company is increasing its full year 2026 Adjusted EPS guidance in a range of $1.38 to $1.41 based on 405 million shares. For the fourth quarter of 2026, the Company expects Adjusted EPS in a range of $0.46 to $0.50 based on 400 million shares. These ranges include an estimated non-GAAP tax rate of 26% for the full year and the fourth quarter of 2026.</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preceding forward-looking statements reflect CoStar Group’s expectations as of October 27, 2026, including forward-looking non-GAAP financial measures on a consolidated basis, based on current estimates, expectations, observations, and trends. Given the risk factors, rapidly evolving economic environment, and uncertainties and assumptions discussed in this release and in our quarterly reports on Form 10-Q and annual reports on Form 10-K, actual results may differ materially. Other than in publicly available statements, the Company does not intend to update its forward-looking statements until its next quarterly results announcement.</w:t>
      </w:r>
    </w:p>
    <w:p>
      <w:pPr>
        <w:spacing w:after="0" w:line="11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Reconciliations of EBITDA, Adjusted EBITDA, Adjusted Net Income, and Adjusted EPS to the most directly comparable GAAP measures are shown in detail below, along with definitions for those terms. A reconciliation of forward-looking non-GAAP guidance (except for 2028 Adjusted EBITDA guidance) to the most directly comparable GAAP measure, net income (loss), can be found within the tables included in this release. A reconciliation of the 2028 Adjusted EBITDA guidance to the most directly comparable GAAP measure is not available on a forward-looking basis without unreasonable effort due to the unknown effect, timing, and potential significance of certain income statement items.</w:t>
      </w:r>
    </w:p>
    <w:p>
      <w:pPr>
        <w:sectPr>
          <w:pgSz w:w="11900" w:h="16838" w:orient="portrait"/>
          <w:cols w:equalWidth="0" w:num="1">
            <w:col w:w="11280"/>
          </w:cols>
          <w:pgMar w:left="300" w:top="785"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For information regarding the purpose for which management uses the non-GAAP financial measures disclosed in this release and why management believes they provide useful information to investors regarding the Company’s financial condition and results of operations, please refer to the Company’s latest periodic report.</w:t>
      </w:r>
    </w:p>
    <w:p>
      <w:pPr>
        <w:spacing w:after="0" w:line="14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EBITDA is our net income (loss) before interest income or expense, net; other income or expense, net; income taxes; depreciation; and amortization. We typically disclose EBITDA on a consolidated and on an operating segment basis in our earnings releases, investor conference calls, and filings with the SEC.</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Adjusted EBITDA is different from EBITDA because we further adjust EBITDA for stock-based compensation expense; acquisition- and integration-related costs; restructuring and related costs, including certain advisory fees; and settlements and impairments incurred outside our ordinary course of business, including judgments and related recoveries thereon. Adjusted EBITDA margin represents Adjusted EBITDA divided by revenue for the period.</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Adjusted Net Income represents our net income (loss) adjusted for stock-based compensation expense; acquisition- and integration-related costs, including gains or losses on equity investments acquired in prospective targets and related to deal-contingent financial instruments; restructuring costs; settlement and impairment costs incurred outside our ordinary course of business, including judgments and related, non-recurring interest and recoveries thereon; and amortization of acquired intangible assets and other related costs, and then subtracting an assumed provision for income taxes. In 2026, we are assuming a 26% tax rate to approximate our statutory corporate tax rate, excluding the impact of discrete items, to determine Adjusted Net Income for each quarterly period, year-to-date period and annual period.</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Adjusted EPS represents Adjusted Net Income divided by the number of diluted shares outstanding for the period used in the calculation of GAAP earnings per diluted share. For periods with GAAP net losses and Adjusted Net Income, the weighted average outstanding shares used to calculate Adjusted EPS includes potentially dilutive securities that were excluded from the calculation of GAAP earnings per share as the effect was anti-dilutive.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Metrics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Net new bookings is calculated based on the annualized amount of change in the Company's sales bookings resulting from new subscription-based contracts, changes to existing subscription-based contracts, and cancellations of subscription-based contracts for the period reported. Information regarding net new bookings is not comparable to, nor should it be substituted for, an analysis of the Company's revenue over time.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Earnings Conference Call</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Management will conduct a conference call to discuss the third quarter 2026 results and the Company’s outlook at 5:00 PM ET on October 27, 2026. A live audio webcast of the conference will be available in listen-only mode through the Investors section of the CoStar Group website: https://investors.costargroup.com. A replay of the webcast audio will also be available in the Investors section of our website for a period of time following the call.</w:t>
      </w:r>
    </w:p>
    <w:p>
      <w:pPr>
        <w:sectPr>
          <w:pgSz w:w="11900" w:h="16838" w:orient="portrait"/>
          <w:cols w:equalWidth="0" w:num="1">
            <w:col w:w="11280"/>
          </w:cols>
          <w:pgMar w:left="300" w:top="723" w:right="31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3"/>
          <w:szCs w:val="13"/>
          <w:b w:val="1"/>
          <w:bCs w:val="1"/>
          <w:color w:val="auto"/>
        </w:rPr>
        <w:t>CoStar Group, Inc.</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 - Unaudited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millions, except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80" w:type="dxa"/>
            <w:vAlign w:val="bottom"/>
          </w:tcPr>
          <w:p>
            <w:pPr>
              <w:spacing w:after="0"/>
              <w:rPr>
                <w:sz w:val="12"/>
                <w:szCs w:val="12"/>
                <w:color w:val="auto"/>
              </w:rPr>
            </w:pPr>
          </w:p>
        </w:tc>
        <w:tc>
          <w:tcPr>
            <w:tcW w:w="2260" w:type="dxa"/>
            <w:vAlign w:val="bottom"/>
            <w:gridSpan w:val="4"/>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67"/>
        </w:trPr>
        <w:tc>
          <w:tcPr>
            <w:tcW w:w="6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3"/>
          </w:tcPr>
          <w:p>
            <w:pPr>
              <w:jc w:val="right"/>
              <w:ind w:right="7"/>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6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20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2,347</w:t>
            </w:r>
          </w:p>
        </w:tc>
        <w:tc>
          <w:tcPr>
            <w:tcW w:w="0" w:type="dxa"/>
            <w:vAlign w:val="bottom"/>
          </w:tcPr>
          <w:p>
            <w:pPr>
              <w:spacing w:after="0"/>
              <w:rPr>
                <w:sz w:val="1"/>
                <w:szCs w:val="1"/>
                <w:color w:val="auto"/>
              </w:rPr>
            </w:pPr>
          </w:p>
        </w:tc>
      </w:tr>
      <w:tr>
        <w:trPr>
          <w:trHeight w:val="194"/>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0" w:type="dxa"/>
            <w:vAlign w:val="bottom"/>
          </w:tcPr>
          <w:p>
            <w:pPr>
              <w:spacing w:after="0"/>
              <w:rPr>
                <w:sz w:val="1"/>
                <w:szCs w:val="1"/>
                <w:color w:val="auto"/>
              </w:rPr>
            </w:pPr>
          </w:p>
        </w:tc>
      </w:tr>
      <w:tr>
        <w:trPr>
          <w:trHeight w:val="20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1,854</w:t>
            </w:r>
          </w:p>
        </w:tc>
        <w:tc>
          <w:tcPr>
            <w:tcW w:w="0" w:type="dxa"/>
            <w:vAlign w:val="bottom"/>
          </w:tcPr>
          <w:p>
            <w:pPr>
              <w:spacing w:after="0"/>
              <w:rPr>
                <w:sz w:val="1"/>
                <w:szCs w:val="1"/>
                <w:color w:val="auto"/>
              </w:rPr>
            </w:pPr>
          </w:p>
        </w:tc>
      </w:tr>
      <w:tr>
        <w:trPr>
          <w:trHeight w:val="202"/>
        </w:trPr>
        <w:tc>
          <w:tcPr>
            <w:tcW w:w="6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Selling and marketing (excluding customer base amortization)</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1,182</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Software development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0" w:type="dxa"/>
            <w:vAlign w:val="bottom"/>
          </w:tcPr>
          <w:p>
            <w:pPr>
              <w:spacing w:after="0"/>
              <w:rPr>
                <w:sz w:val="1"/>
                <w:szCs w:val="1"/>
                <w:color w:val="auto"/>
              </w:rPr>
            </w:pPr>
          </w:p>
        </w:tc>
      </w:tr>
      <w:tr>
        <w:trPr>
          <w:trHeight w:val="194"/>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0" w:type="dxa"/>
            <w:vAlign w:val="bottom"/>
          </w:tcPr>
          <w:p>
            <w:pPr>
              <w:spacing w:after="0"/>
              <w:rPr>
                <w:sz w:val="1"/>
                <w:szCs w:val="1"/>
                <w:color w:val="auto"/>
              </w:rPr>
            </w:pPr>
          </w:p>
        </w:tc>
      </w:tr>
      <w:tr>
        <w:trPr>
          <w:trHeight w:val="202"/>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Customer base amortization</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92"/>
        </w:trPr>
        <w:tc>
          <w:tcPr>
            <w:tcW w:w="6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1,975</w:t>
            </w:r>
          </w:p>
        </w:tc>
        <w:tc>
          <w:tcPr>
            <w:tcW w:w="0" w:type="dxa"/>
            <w:vAlign w:val="bottom"/>
          </w:tcPr>
          <w:p>
            <w:pPr>
              <w:spacing w:after="0"/>
              <w:rPr>
                <w:sz w:val="1"/>
                <w:szCs w:val="1"/>
                <w:color w:val="auto"/>
              </w:rPr>
            </w:pPr>
          </w:p>
        </w:tc>
      </w:tr>
      <w:tr>
        <w:trPr>
          <w:trHeight w:val="20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from operations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94"/>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income (expense), net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202"/>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income (expense), net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92"/>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202"/>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00"/>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Earnings per share - basic</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100" w:type="dxa"/>
            <w:vAlign w:val="bottom"/>
          </w:tcPr>
          <w:p>
            <w:pPr>
              <w:spacing w:after="0"/>
              <w:rPr>
                <w:sz w:val="16"/>
                <w:szCs w:val="16"/>
                <w:color w:val="auto"/>
              </w:rPr>
            </w:pPr>
          </w:p>
        </w:tc>
        <w:tc>
          <w:tcPr>
            <w:tcW w:w="400" w:type="dxa"/>
            <w:vAlign w:val="bottom"/>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80" w:type="dxa"/>
            <w:vAlign w:val="bottom"/>
          </w:tcPr>
          <w:p>
            <w:pPr>
              <w:spacing w:after="0"/>
              <w:rPr>
                <w:sz w:val="16"/>
                <w:szCs w:val="16"/>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100" w:type="dxa"/>
            <w:vAlign w:val="bottom"/>
          </w:tcPr>
          <w:p>
            <w:pPr>
              <w:spacing w:after="0"/>
              <w:rPr>
                <w:sz w:val="16"/>
                <w:szCs w:val="16"/>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0" w:type="dxa"/>
            <w:vAlign w:val="bottom"/>
          </w:tcPr>
          <w:p>
            <w:pPr>
              <w:spacing w:after="0"/>
              <w:rPr>
                <w:sz w:val="1"/>
                <w:szCs w:val="1"/>
                <w:color w:val="auto"/>
              </w:rPr>
            </w:pPr>
          </w:p>
        </w:tc>
      </w:tr>
      <w:tr>
        <w:trPr>
          <w:trHeight w:val="26"/>
        </w:trPr>
        <w:tc>
          <w:tcPr>
            <w:tcW w:w="6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Earnings per share - diluted</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outstanding shares - basic</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416.7</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Weighted-average outstanding shares -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20" w:type="dxa"/>
            <w:vAlign w:val="bottom"/>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401.9</w:t>
            </w: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419.9</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406.7</w:t>
            </w: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416.7</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785" w:right="31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3"/>
          <w:szCs w:val="13"/>
          <w:b w:val="1"/>
          <w:bCs w:val="1"/>
          <w:color w:val="auto"/>
        </w:rPr>
        <w:t>CoStar Group, Inc.</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 - Unaudited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200" w:type="dxa"/>
            <w:vAlign w:val="bottom"/>
          </w:tcPr>
          <w:p>
            <w:pPr>
              <w:spacing w:after="0"/>
              <w:rPr>
                <w:sz w:val="15"/>
                <w:szCs w:val="15"/>
                <w:color w:val="auto"/>
              </w:rPr>
            </w:pPr>
          </w:p>
        </w:tc>
        <w:tc>
          <w:tcPr>
            <w:tcW w:w="148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0" w:type="dxa"/>
            <w:vAlign w:val="bottom"/>
          </w:tcPr>
          <w:p>
            <w:pPr>
              <w:spacing w:after="0"/>
              <w:rPr>
                <w:sz w:val="1"/>
                <w:szCs w:val="1"/>
                <w:color w:val="auto"/>
              </w:rPr>
            </w:pPr>
          </w:p>
        </w:tc>
      </w:tr>
      <w:tr>
        <w:trPr>
          <w:trHeight w:val="176"/>
        </w:trPr>
        <w:tc>
          <w:tcPr>
            <w:tcW w:w="7820" w:type="dxa"/>
            <w:vAlign w:val="bottom"/>
          </w:tcPr>
          <w:p>
            <w:pPr>
              <w:ind w:left="368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1,633</w:t>
            </w:r>
          </w:p>
        </w:tc>
        <w:tc>
          <w:tcPr>
            <w:tcW w:w="0" w:type="dxa"/>
            <w:vAlign w:val="bottom"/>
          </w:tcPr>
          <w:p>
            <w:pPr>
              <w:spacing w:after="0"/>
              <w:rPr>
                <w:sz w:val="1"/>
                <w:szCs w:val="1"/>
                <w:color w:val="auto"/>
              </w:rPr>
            </w:pPr>
          </w:p>
        </w:tc>
      </w:tr>
      <w:tr>
        <w:trPr>
          <w:trHeight w:val="194"/>
        </w:trPr>
        <w:tc>
          <w:tcPr>
            <w:tcW w:w="7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Restricted cash</w:t>
            </w:r>
          </w:p>
        </w:tc>
        <w:tc>
          <w:tcPr>
            <w:tcW w:w="20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receivable</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0" w:type="dxa"/>
            <w:vAlign w:val="bottom"/>
          </w:tcPr>
          <w:p>
            <w:pPr>
              <w:spacing w:after="0"/>
              <w:rPr>
                <w:sz w:val="1"/>
                <w:szCs w:val="1"/>
                <w:color w:val="auto"/>
              </w:rPr>
            </w:pPr>
          </w:p>
        </w:tc>
      </w:tr>
      <w:tr>
        <w:trPr>
          <w:trHeight w:val="194"/>
        </w:trPr>
        <w:tc>
          <w:tcPr>
            <w:tcW w:w="78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Less: Allowance for credit losses</w:t>
            </w: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200"/>
        </w:trPr>
        <w:tc>
          <w:tcPr>
            <w:tcW w:w="7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Accounts receivable, net</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0" w:type="dxa"/>
            <w:vAlign w:val="bottom"/>
          </w:tcPr>
          <w:p>
            <w:pPr>
              <w:spacing w:after="0"/>
              <w:rPr>
                <w:sz w:val="1"/>
                <w:szCs w:val="1"/>
                <w:color w:val="auto"/>
              </w:rPr>
            </w:pPr>
          </w:p>
        </w:tc>
      </w:tr>
      <w:tr>
        <w:trPr>
          <w:trHeight w:val="194"/>
        </w:trPr>
        <w:tc>
          <w:tcPr>
            <w:tcW w:w="7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taxes receivable</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192"/>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current assets</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2,119</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w:t>
            </w:r>
          </w:p>
        </w:tc>
        <w:tc>
          <w:tcPr>
            <w:tcW w:w="0" w:type="dxa"/>
            <w:vAlign w:val="bottom"/>
          </w:tcPr>
          <w:p>
            <w:pPr>
              <w:spacing w:after="0"/>
              <w:rPr>
                <w:sz w:val="1"/>
                <w:szCs w:val="1"/>
                <w:color w:val="auto"/>
              </w:rPr>
            </w:pPr>
          </w:p>
        </w:tc>
      </w:tr>
      <w:tr>
        <w:trPr>
          <w:trHeight w:val="194"/>
        </w:trPr>
        <w:tc>
          <w:tcPr>
            <w:tcW w:w="7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Lease right-of-use assets</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Goodwill</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4,944</w:t>
            </w:r>
          </w:p>
        </w:tc>
        <w:tc>
          <w:tcPr>
            <w:tcW w:w="0" w:type="dxa"/>
            <w:vAlign w:val="bottom"/>
          </w:tcPr>
          <w:p>
            <w:pPr>
              <w:spacing w:after="0"/>
              <w:rPr>
                <w:sz w:val="1"/>
                <w:szCs w:val="1"/>
                <w:color w:val="auto"/>
              </w:rPr>
            </w:pPr>
          </w:p>
        </w:tc>
      </w:tr>
      <w:tr>
        <w:trPr>
          <w:trHeight w:val="194"/>
        </w:trPr>
        <w:tc>
          <w:tcPr>
            <w:tcW w:w="7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Intangible assets, net</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1,771</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commission costs, net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0" w:type="dxa"/>
            <w:vAlign w:val="bottom"/>
          </w:tcPr>
          <w:p>
            <w:pPr>
              <w:spacing w:after="0"/>
              <w:rPr>
                <w:sz w:val="1"/>
                <w:szCs w:val="1"/>
                <w:color w:val="auto"/>
              </w:rPr>
            </w:pPr>
          </w:p>
        </w:tc>
      </w:tr>
      <w:tr>
        <w:trPr>
          <w:trHeight w:val="194"/>
        </w:trPr>
        <w:tc>
          <w:tcPr>
            <w:tcW w:w="7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Deposits and other assets</w:t>
            </w: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10,538</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54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8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6"/>
                <w:szCs w:val="16"/>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wages and commissions</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0" w:type="dxa"/>
            <w:vAlign w:val="bottom"/>
          </w:tcPr>
          <w:p>
            <w:pPr>
              <w:spacing w:after="0"/>
              <w:rPr>
                <w:sz w:val="1"/>
                <w:szCs w:val="1"/>
                <w:color w:val="auto"/>
              </w:rPr>
            </w:pPr>
          </w:p>
        </w:tc>
      </w:tr>
      <w:tr>
        <w:trPr>
          <w:trHeight w:val="194"/>
        </w:trPr>
        <w:tc>
          <w:tcPr>
            <w:tcW w:w="7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expenses</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Litigation accrual</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0" w:type="dxa"/>
            <w:vAlign w:val="bottom"/>
          </w:tcPr>
          <w:p>
            <w:pPr>
              <w:spacing w:after="0"/>
              <w:rPr>
                <w:sz w:val="1"/>
                <w:szCs w:val="1"/>
                <w:color w:val="auto"/>
              </w:rPr>
            </w:pPr>
          </w:p>
        </w:tc>
      </w:tr>
      <w:tr>
        <w:trPr>
          <w:trHeight w:val="194"/>
        </w:trPr>
        <w:tc>
          <w:tcPr>
            <w:tcW w:w="7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Lease liabilities</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revenue</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0" w:type="dxa"/>
            <w:vAlign w:val="bottom"/>
          </w:tcPr>
          <w:p>
            <w:pPr>
              <w:spacing w:after="0"/>
              <w:rPr>
                <w:sz w:val="1"/>
                <w:szCs w:val="1"/>
                <w:color w:val="auto"/>
              </w:rPr>
            </w:pPr>
          </w:p>
        </w:tc>
      </w:tr>
      <w:tr>
        <w:trPr>
          <w:trHeight w:val="194"/>
        </w:trPr>
        <w:tc>
          <w:tcPr>
            <w:tcW w:w="7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20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0" w:type="dxa"/>
            <w:vAlign w:val="bottom"/>
          </w:tcPr>
          <w:p>
            <w:pPr>
              <w:spacing w:after="0"/>
              <w:rPr>
                <w:sz w:val="1"/>
                <w:szCs w:val="1"/>
                <w:color w:val="auto"/>
              </w:rPr>
            </w:pPr>
          </w:p>
        </w:tc>
      </w:tr>
      <w:tr>
        <w:trPr>
          <w:trHeight w:val="202"/>
        </w:trPr>
        <w:tc>
          <w:tcPr>
            <w:tcW w:w="7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Long-term debt, net</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w:t>
            </w:r>
          </w:p>
        </w:tc>
        <w:tc>
          <w:tcPr>
            <w:tcW w:w="0" w:type="dxa"/>
            <w:vAlign w:val="bottom"/>
          </w:tcPr>
          <w:p>
            <w:pPr>
              <w:spacing w:after="0"/>
              <w:rPr>
                <w:sz w:val="1"/>
                <w:szCs w:val="1"/>
                <w:color w:val="auto"/>
              </w:rPr>
            </w:pPr>
          </w:p>
        </w:tc>
      </w:tr>
      <w:tr>
        <w:trPr>
          <w:trHeight w:val="194"/>
        </w:trPr>
        <w:tc>
          <w:tcPr>
            <w:tcW w:w="7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taxes payable</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94"/>
        </w:trPr>
        <w:tc>
          <w:tcPr>
            <w:tcW w:w="7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Lease and other long-term liabilities</w:t>
            </w: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0" w:type="dxa"/>
            <w:vAlign w:val="bottom"/>
          </w:tcPr>
          <w:p>
            <w:pPr>
              <w:spacing w:after="0"/>
              <w:rPr>
                <w:sz w:val="1"/>
                <w:szCs w:val="1"/>
                <w:color w:val="auto"/>
              </w:rPr>
            </w:pPr>
          </w:p>
        </w:tc>
      </w:tr>
      <w:tr>
        <w:trPr>
          <w:trHeight w:val="19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w:t>
            </w:r>
          </w:p>
        </w:tc>
        <w:tc>
          <w:tcPr>
            <w:tcW w:w="20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2,167</w:t>
            </w:r>
          </w:p>
        </w:tc>
        <w:tc>
          <w:tcPr>
            <w:tcW w:w="0" w:type="dxa"/>
            <w:vAlign w:val="bottom"/>
          </w:tcPr>
          <w:p>
            <w:pPr>
              <w:spacing w:after="0"/>
              <w:rPr>
                <w:sz w:val="1"/>
                <w:szCs w:val="1"/>
                <w:color w:val="auto"/>
              </w:rPr>
            </w:pPr>
          </w:p>
        </w:tc>
      </w:tr>
      <w:tr>
        <w:trPr>
          <w:trHeight w:val="192"/>
        </w:trPr>
        <w:tc>
          <w:tcPr>
            <w:tcW w:w="7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Stockholders' equity attributable to CoStar Group</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8,334</w:t>
            </w: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Equity attributable to noncontrolling interest</w:t>
            </w: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equity</w:t>
            </w: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7,992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8,371</w:t>
            </w: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10,538</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784" w:right="31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3"/>
          <w:szCs w:val="13"/>
          <w:b w:val="1"/>
          <w:bCs w:val="1"/>
          <w:color w:val="auto"/>
        </w:rPr>
        <w:t>CoStar Group, Inc.</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 - Unaudited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millions)</w:t>
      </w:r>
    </w:p>
    <w:p>
      <w:pPr>
        <w:spacing w:after="0" w:line="252"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spacing w:after="0" w:line="15"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5298440</wp:posOffset>
            </wp:positionH>
            <wp:positionV relativeFrom="paragraph">
              <wp:posOffset>17780</wp:posOffset>
            </wp:positionV>
            <wp:extent cx="186626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66265" cy="698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40" w:type="dxa"/>
            <w:vAlign w:val="bottom"/>
          </w:tcPr>
          <w:p>
            <w:pPr>
              <w:spacing w:after="0"/>
              <w:rPr>
                <w:sz w:val="15"/>
                <w:szCs w:val="15"/>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2026</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83"/>
        </w:trPr>
        <w:tc>
          <w:tcPr>
            <w:tcW w:w="8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activities:</w:t>
            </w: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9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94"/>
        </w:trPr>
        <w:tc>
          <w:tcPr>
            <w:tcW w:w="8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 activities:</w:t>
            </w: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r>
      <w:tr>
        <w:trPr>
          <w:trHeight w:val="194"/>
        </w:trPr>
        <w:tc>
          <w:tcPr>
            <w:tcW w:w="8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deferred commissions costs</w:t>
            </w: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r>
      <w:tr>
        <w:trPr>
          <w:trHeight w:val="209"/>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Non-cash lease expense</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94"/>
        </w:trPr>
        <w:tc>
          <w:tcPr>
            <w:tcW w:w="8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r>
      <w:tr>
        <w:trPr>
          <w:trHeight w:val="209"/>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94"/>
        </w:trPr>
        <w:tc>
          <w:tcPr>
            <w:tcW w:w="8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Credit loss expense</w:t>
            </w: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209"/>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operating activities, net</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94"/>
        </w:trPr>
        <w:tc>
          <w:tcPr>
            <w:tcW w:w="8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Changes in operating assets and liabilities, net of acquisitions:</w:t>
            </w: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9"/>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receivable</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94"/>
        </w:trPr>
        <w:tc>
          <w:tcPr>
            <w:tcW w:w="8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Prepaid expenses, other current assets and other assets</w:t>
            </w: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209"/>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commissions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r>
      <w:tr>
        <w:trPr>
          <w:trHeight w:val="194"/>
        </w:trPr>
        <w:tc>
          <w:tcPr>
            <w:tcW w:w="8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 and other liabilities</w:t>
            </w: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209"/>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Litigation accrual</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4"/>
        </w:trPr>
        <w:tc>
          <w:tcPr>
            <w:tcW w:w="8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Lease liabilities</w:t>
            </w: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209"/>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taxes payable, net</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94"/>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Deferred revenue</w:t>
            </w: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20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w:t>
            </w:r>
          </w:p>
        </w:tc>
      </w:tr>
      <w:tr>
        <w:trPr>
          <w:trHeight w:val="202"/>
        </w:trPr>
        <w:tc>
          <w:tcPr>
            <w:tcW w:w="8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Investing activities:</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4"/>
        </w:trPr>
        <w:tc>
          <w:tcPr>
            <w:tcW w:w="8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paid for acquisitions, net of cash acquired</w:t>
            </w: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(2,347)</w:t>
            </w:r>
          </w:p>
        </w:tc>
      </w:tr>
      <w:tr>
        <w:trPr>
          <w:trHeight w:val="209"/>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Purchases of property, equipment, and other assets for new campuses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r>
      <w:tr>
        <w:trPr>
          <w:trHeight w:val="194"/>
        </w:trPr>
        <w:tc>
          <w:tcPr>
            <w:tcW w:w="8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Purchase of equity securities</w:t>
            </w:r>
          </w:p>
        </w:tc>
        <w:tc>
          <w:tcPr>
            <w:tcW w:w="94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w:t>
            </w:r>
          </w:p>
        </w:tc>
      </w:tr>
      <w:tr>
        <w:trPr>
          <w:trHeight w:val="209"/>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Purchases of property, equipment, and other assets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94"/>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Proceeds from sale and settlement of investments and other assets</w:t>
            </w: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w:t>
            </w:r>
          </w:p>
        </w:tc>
      </w:tr>
      <w:tr>
        <w:trPr>
          <w:trHeight w:val="20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(2,750)</w:t>
            </w:r>
          </w:p>
        </w:tc>
      </w:tr>
      <w:tr>
        <w:trPr>
          <w:trHeight w:val="202"/>
        </w:trPr>
        <w:tc>
          <w:tcPr>
            <w:tcW w:w="8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Financing activities:</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4"/>
        </w:trPr>
        <w:tc>
          <w:tcPr>
            <w:tcW w:w="8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Repurchases of stock</w:t>
            </w: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r>
      <w:tr>
        <w:trPr>
          <w:trHeight w:val="209"/>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Repurchase of restricted stock to satisfy tax withholding obligations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94"/>
        </w:trPr>
        <w:tc>
          <w:tcPr>
            <w:tcW w:w="8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exercise of stock options and employee stock purchase plan</w:t>
            </w: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209"/>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 of noncontrolling interest</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4"/>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financing activities, net</w:t>
            </w: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0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r>
      <w:tr>
        <w:trPr>
          <w:trHeight w:val="202"/>
        </w:trPr>
        <w:tc>
          <w:tcPr>
            <w:tcW w:w="8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foreign currency exchange rates on cash, cash equivalents, and restricted cash</w:t>
            </w:r>
          </w:p>
        </w:tc>
        <w:tc>
          <w:tcPr>
            <w:tcW w:w="9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92"/>
        </w:trPr>
        <w:tc>
          <w:tcPr>
            <w:tcW w:w="8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decrease in cash, cash equivalents, and restricted cash</w:t>
            </w: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(2,646)</w:t>
            </w:r>
          </w:p>
        </w:tc>
      </w:tr>
      <w:tr>
        <w:trPr>
          <w:trHeight w:val="20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the beginning of period</w:t>
            </w:r>
          </w:p>
        </w:tc>
        <w:tc>
          <w:tcPr>
            <w:tcW w:w="9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4,681</w:t>
            </w:r>
          </w:p>
        </w:tc>
      </w:tr>
      <w:tr>
        <w:trPr>
          <w:trHeight w:val="200"/>
        </w:trPr>
        <w:tc>
          <w:tcPr>
            <w:tcW w:w="8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the end of period</w:t>
            </w:r>
          </w:p>
        </w:tc>
        <w:tc>
          <w:tcPr>
            <w:tcW w:w="9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2,035</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784" w:right="31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3"/>
          <w:szCs w:val="13"/>
          <w:b w:val="1"/>
          <w:bCs w:val="1"/>
          <w:color w:val="auto"/>
        </w:rPr>
        <w:t>CoStar Group, Inc.</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Disaggregated Revenue - Unaudited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20" w:type="dxa"/>
            <w:vAlign w:val="bottom"/>
          </w:tcPr>
          <w:p>
            <w:pPr>
              <w:spacing w:after="0"/>
              <w:rPr>
                <w:sz w:val="12"/>
                <w:szCs w:val="12"/>
                <w:color w:val="auto"/>
              </w:rPr>
            </w:pPr>
          </w:p>
        </w:tc>
        <w:tc>
          <w:tcPr>
            <w:tcW w:w="2160" w:type="dxa"/>
            <w:vAlign w:val="bottom"/>
            <w:gridSpan w:val="4"/>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gridSpan w:val="4"/>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67"/>
        </w:trPr>
        <w:tc>
          <w:tcPr>
            <w:tcW w:w="6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gridSpan w:val="3"/>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0" w:type="dxa"/>
            <w:vAlign w:val="bottom"/>
          </w:tcPr>
          <w:p>
            <w:pPr>
              <w:spacing w:after="0"/>
              <w:rPr>
                <w:sz w:val="14"/>
                <w:szCs w:val="14"/>
                <w:color w:val="auto"/>
              </w:rPr>
            </w:pPr>
          </w:p>
        </w:tc>
      </w:tr>
      <w:tr>
        <w:trPr>
          <w:trHeight w:val="26"/>
        </w:trPr>
        <w:tc>
          <w:tcPr>
            <w:tcW w:w="6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3"/>
        </w:trPr>
        <w:tc>
          <w:tcPr>
            <w:tcW w:w="61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83"/>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9"/>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CoStar</w:t>
            </w:r>
          </w:p>
        </w:tc>
        <w:tc>
          <w:tcPr>
            <w:tcW w:w="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w:t>
            </w:r>
          </w:p>
        </w:tc>
      </w:tr>
      <w:tr>
        <w:trPr>
          <w:trHeight w:val="194"/>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LoopNet</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r>
      <w:tr>
        <w:trPr>
          <w:trHeight w:val="202"/>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Commercial Real Estate</w:t>
            </w: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r>
      <w:tr>
        <w:trPr>
          <w:trHeight w:val="192"/>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1,316</w:t>
            </w:r>
          </w:p>
        </w:tc>
      </w:tr>
      <w:tr>
        <w:trPr>
          <w:trHeight w:val="20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Real Estate</w:t>
            </w: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1,329</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w:t>
            </w:r>
          </w:p>
        </w:tc>
      </w:tr>
      <w:tr>
        <w:trPr>
          <w:trHeight w:val="200"/>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8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952</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834</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2,774</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2,347</w:t>
            </w:r>
          </w:p>
        </w:tc>
      </w:tr>
      <w:tr>
        <w:trPr>
          <w:trHeight w:val="20"/>
        </w:trPr>
        <w:tc>
          <w:tcPr>
            <w:tcW w:w="6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CoStar Group, Inc.</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Disaggregated Revenue - Unaudited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6153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90"/>
        </w:trPr>
        <w:tc>
          <w:tcPr>
            <w:tcW w:w="5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Q1</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Q2</w:t>
            </w:r>
          </w:p>
        </w:tc>
        <w:tc>
          <w:tcPr>
            <w:tcW w:w="200" w:type="dxa"/>
            <w:vAlign w:val="bottom"/>
          </w:tcPr>
          <w:p>
            <w:pPr>
              <w:spacing w:after="0"/>
              <w:rPr>
                <w:sz w:val="16"/>
                <w:szCs w:val="16"/>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Q3</w:t>
            </w:r>
          </w:p>
        </w:tc>
        <w:tc>
          <w:tcPr>
            <w:tcW w:w="200" w:type="dxa"/>
            <w:vAlign w:val="bottom"/>
          </w:tcPr>
          <w:p>
            <w:pPr>
              <w:spacing w:after="0"/>
              <w:rPr>
                <w:sz w:val="16"/>
                <w:szCs w:val="16"/>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Q4</w:t>
            </w:r>
          </w:p>
        </w:tc>
        <w:tc>
          <w:tcPr>
            <w:tcW w:w="200" w:type="dxa"/>
            <w:vAlign w:val="bottom"/>
          </w:tcPr>
          <w:p>
            <w:pPr>
              <w:spacing w:after="0"/>
              <w:rPr>
                <w:sz w:val="16"/>
                <w:szCs w:val="16"/>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Q1</w:t>
            </w:r>
          </w:p>
        </w:tc>
        <w:tc>
          <w:tcPr>
            <w:tcW w:w="180" w:type="dxa"/>
            <w:vAlign w:val="bottom"/>
          </w:tcPr>
          <w:p>
            <w:pPr>
              <w:spacing w:after="0"/>
              <w:rPr>
                <w:sz w:val="16"/>
                <w:szCs w:val="16"/>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Q2</w:t>
            </w:r>
          </w:p>
        </w:tc>
        <w:tc>
          <w:tcPr>
            <w:tcW w:w="200" w:type="dxa"/>
            <w:vAlign w:val="bottom"/>
          </w:tcPr>
          <w:p>
            <w:pPr>
              <w:spacing w:after="0"/>
              <w:rPr>
                <w:sz w:val="16"/>
                <w:szCs w:val="16"/>
                <w:color w:val="auto"/>
              </w:rPr>
            </w:pPr>
          </w:p>
        </w:tc>
        <w:tc>
          <w:tcPr>
            <w:tcW w:w="60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Q3</w:t>
            </w:r>
          </w:p>
        </w:tc>
      </w:tr>
      <w:tr>
        <w:trPr>
          <w:trHeight w:val="183"/>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5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r>
      <w:tr>
        <w:trPr>
          <w:trHeight w:val="209"/>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CoStar</w:t>
            </w:r>
          </w:p>
        </w:tc>
        <w:tc>
          <w:tcPr>
            <w:tcW w:w="52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r>
      <w:tr>
        <w:trPr>
          <w:trHeight w:val="194"/>
        </w:trPr>
        <w:tc>
          <w:tcPr>
            <w:tcW w:w="5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LoopNet</w:t>
            </w:r>
          </w:p>
        </w:tc>
        <w:tc>
          <w:tcPr>
            <w:tcW w:w="5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202"/>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Commercial Real Estate</w:t>
            </w:r>
          </w:p>
        </w:tc>
        <w:tc>
          <w:tcPr>
            <w:tcW w:w="5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92"/>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5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w:t>
            </w:r>
          </w:p>
        </w:tc>
      </w:tr>
      <w:tr>
        <w:trPr>
          <w:trHeight w:val="20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Real Estate</w:t>
            </w:r>
          </w:p>
        </w:tc>
        <w:tc>
          <w:tcPr>
            <w:tcW w:w="5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r>
      <w:tr>
        <w:trPr>
          <w:trHeight w:val="200"/>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834</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952</w:t>
            </w:r>
          </w:p>
        </w:tc>
      </w:tr>
      <w:tr>
        <w:trPr>
          <w:trHeight w:val="20"/>
        </w:trPr>
        <w:tc>
          <w:tcPr>
            <w:tcW w:w="5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784" w:right="319"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income</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Income tax expense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Amortization of acquired intangible assets</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Acquisition and integration related costs</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Interest related to settlements</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Restructuring and related costs</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Settlements and impairments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Adjusted income before income taxes</w:t>
      </w:r>
    </w:p>
    <w:p>
      <w:pPr>
        <w:spacing w:after="0" w:line="52" w:lineRule="exact"/>
        <w:rPr>
          <w:sz w:val="20"/>
          <w:szCs w:val="20"/>
          <w:color w:val="auto"/>
        </w:rPr>
      </w:pPr>
    </w:p>
    <w:p>
      <w:pPr>
        <w:ind w:left="180"/>
        <w:spacing w:after="0" w:line="336" w:lineRule="auto"/>
        <w:rPr>
          <w:sz w:val="20"/>
          <w:szCs w:val="20"/>
          <w:color w:val="auto"/>
        </w:rPr>
      </w:pPr>
      <w:r>
        <w:rPr>
          <w:rFonts w:ascii="Times New Roman" w:cs="Times New Roman" w:eastAsia="Times New Roman" w:hAnsi="Times New Roman"/>
          <w:sz w:val="12"/>
          <w:szCs w:val="12"/>
          <w:color w:val="auto"/>
        </w:rPr>
        <w:t>Assumed rate for income tax expense</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Assumed provision for income tax expense</w:t>
      </w:r>
    </w:p>
    <w:p>
      <w:pPr>
        <w:ind w:left="20"/>
        <w:spacing w:after="0"/>
        <w:rPr>
          <w:sz w:val="20"/>
          <w:szCs w:val="20"/>
          <w:color w:val="auto"/>
        </w:rPr>
      </w:pPr>
      <w:r>
        <w:rPr>
          <w:rFonts w:ascii="Times New Roman" w:cs="Times New Roman" w:eastAsia="Times New Roman" w:hAnsi="Times New Roman"/>
          <w:sz w:val="13"/>
          <w:szCs w:val="13"/>
          <w:color w:val="auto"/>
        </w:rPr>
        <w:t>Adjusted Net Income</w:t>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Times New Roman" w:cs="Times New Roman" w:eastAsia="Times New Roman" w:hAnsi="Times New Roman"/>
          <w:sz w:val="13"/>
          <w:szCs w:val="13"/>
          <w:b w:val="1"/>
          <w:bCs w:val="1"/>
          <w:color w:val="auto"/>
        </w:rPr>
        <w:t>CoStar Group, Inc.</w:t>
      </w:r>
    </w:p>
    <w:p>
      <w:pPr>
        <w:spacing w:after="0" w:line="52" w:lineRule="exact"/>
        <w:rPr>
          <w:sz w:val="20"/>
          <w:szCs w:val="20"/>
          <w:color w:val="auto"/>
        </w:rPr>
      </w:pPr>
    </w:p>
    <w:p>
      <w:pPr>
        <w:jc w:val="center"/>
        <w:ind w:right="2880"/>
        <w:spacing w:after="0"/>
        <w:rPr>
          <w:sz w:val="20"/>
          <w:szCs w:val="20"/>
          <w:color w:val="auto"/>
        </w:rPr>
      </w:pPr>
      <w:r>
        <w:rPr>
          <w:rFonts w:ascii="Times New Roman" w:cs="Times New Roman" w:eastAsia="Times New Roman" w:hAnsi="Times New Roman"/>
          <w:sz w:val="13"/>
          <w:szCs w:val="13"/>
          <w:b w:val="1"/>
          <w:bCs w:val="1"/>
          <w:color w:val="auto"/>
        </w:rPr>
        <w:t>Reconciliation of Forward-Looking Guidance - Unaudited</w:t>
      </w:r>
    </w:p>
    <w:p>
      <w:pPr>
        <w:spacing w:after="0" w:line="54" w:lineRule="exact"/>
        <w:rPr>
          <w:sz w:val="20"/>
          <w:szCs w:val="20"/>
          <w:color w:val="auto"/>
        </w:rPr>
      </w:pPr>
    </w:p>
    <w:p>
      <w:pPr>
        <w:jc w:val="center"/>
        <w:ind w:right="2880"/>
        <w:spacing w:after="0"/>
        <w:rPr>
          <w:sz w:val="20"/>
          <w:szCs w:val="20"/>
          <w:color w:val="auto"/>
        </w:rPr>
      </w:pPr>
      <w:r>
        <w:rPr>
          <w:rFonts w:ascii="Times New Roman" w:cs="Times New Roman" w:eastAsia="Times New Roman" w:hAnsi="Times New Roman"/>
          <w:sz w:val="13"/>
          <w:szCs w:val="13"/>
          <w:color w:val="auto"/>
        </w:rPr>
        <w:t>(in millions,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40" w:type="dxa"/>
            <w:vAlign w:val="bottom"/>
            <w:gridSpan w:val="7"/>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7"/>
              </w:rPr>
              <w:t>Reconciliation of Forward-Looking Guidance, Net Income to Adjusted Net Income and Adjusted EPS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2"/>
        </w:trPr>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center"/>
              <w:ind w:left="456"/>
              <w:spacing w:after="0"/>
              <w:rPr>
                <w:sz w:val="20"/>
                <w:szCs w:val="20"/>
                <w:color w:val="auto"/>
              </w:rPr>
            </w:pPr>
            <w:r>
              <w:rPr>
                <w:rFonts w:ascii="Times New Roman" w:cs="Times New Roman" w:eastAsia="Times New Roman" w:hAnsi="Times New Roman"/>
                <w:sz w:val="13"/>
                <w:szCs w:val="13"/>
                <w:b w:val="1"/>
                <w:bCs w:val="1"/>
                <w:color w:val="auto"/>
                <w:w w:val="97"/>
              </w:rPr>
              <w:t>Guidance Range</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center"/>
              <w:ind w:left="416"/>
              <w:spacing w:after="0"/>
              <w:rPr>
                <w:sz w:val="20"/>
                <w:szCs w:val="20"/>
                <w:color w:val="auto"/>
              </w:rPr>
            </w:pPr>
            <w:r>
              <w:rPr>
                <w:rFonts w:ascii="Times New Roman" w:cs="Times New Roman" w:eastAsia="Times New Roman" w:hAnsi="Times New Roman"/>
                <w:sz w:val="13"/>
                <w:szCs w:val="13"/>
                <w:b w:val="1"/>
                <w:bCs w:val="1"/>
                <w:color w:val="auto"/>
                <w:w w:val="97"/>
              </w:rPr>
              <w:t>Guidance Range</w:t>
            </w:r>
          </w:p>
        </w:tc>
        <w:tc>
          <w:tcPr>
            <w:tcW w:w="780" w:type="dxa"/>
            <w:vAlign w:val="bottom"/>
          </w:tcPr>
          <w:p>
            <w:pPr>
              <w:spacing w:after="0"/>
              <w:rPr>
                <w:sz w:val="17"/>
                <w:szCs w:val="17"/>
                <w:color w:val="auto"/>
              </w:rPr>
            </w:pPr>
          </w:p>
        </w:tc>
      </w:tr>
      <w:tr>
        <w:trPr>
          <w:trHeight w:val="202"/>
        </w:trPr>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5"/>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For the Three Months</w:t>
            </w:r>
          </w:p>
        </w:tc>
        <w:tc>
          <w:tcPr>
            <w:tcW w:w="300" w:type="dxa"/>
            <w:vAlign w:val="bottom"/>
          </w:tcPr>
          <w:p>
            <w:pPr>
              <w:spacing w:after="0"/>
              <w:rPr>
                <w:sz w:val="17"/>
                <w:szCs w:val="17"/>
                <w:color w:val="auto"/>
              </w:rPr>
            </w:pPr>
          </w:p>
        </w:tc>
        <w:tc>
          <w:tcPr>
            <w:tcW w:w="1580" w:type="dxa"/>
            <w:vAlign w:val="bottom"/>
            <w:gridSpan w:val="3"/>
          </w:tcPr>
          <w:p>
            <w:pPr>
              <w:jc w:val="center"/>
              <w:ind w:left="416"/>
              <w:spacing w:after="0"/>
              <w:rPr>
                <w:sz w:val="20"/>
                <w:szCs w:val="20"/>
                <w:color w:val="auto"/>
              </w:rPr>
            </w:pPr>
            <w:r>
              <w:rPr>
                <w:rFonts w:ascii="Times New Roman" w:cs="Times New Roman" w:eastAsia="Times New Roman" w:hAnsi="Times New Roman"/>
                <w:sz w:val="13"/>
                <w:szCs w:val="13"/>
                <w:b w:val="1"/>
                <w:bCs w:val="1"/>
                <w:color w:val="auto"/>
                <w:w w:val="95"/>
              </w:rPr>
              <w:t>For the Year Ending</w:t>
            </w:r>
          </w:p>
        </w:tc>
        <w:tc>
          <w:tcPr>
            <w:tcW w:w="780" w:type="dxa"/>
            <w:vAlign w:val="bottom"/>
          </w:tcPr>
          <w:p>
            <w:pPr>
              <w:spacing w:after="0"/>
              <w:rPr>
                <w:sz w:val="17"/>
                <w:szCs w:val="17"/>
                <w:color w:val="auto"/>
              </w:rPr>
            </w:pPr>
          </w:p>
        </w:tc>
      </w:tr>
      <w:tr>
        <w:trPr>
          <w:trHeight w:val="209"/>
        </w:trPr>
        <w:tc>
          <w:tcPr>
            <w:tcW w:w="2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center"/>
              <w:ind w:right="236"/>
              <w:spacing w:after="0"/>
              <w:rPr>
                <w:sz w:val="20"/>
                <w:szCs w:val="20"/>
                <w:color w:val="auto"/>
              </w:rPr>
            </w:pPr>
            <w:r>
              <w:rPr>
                <w:rFonts w:ascii="Times New Roman" w:cs="Times New Roman" w:eastAsia="Times New Roman" w:hAnsi="Times New Roman"/>
                <w:sz w:val="13"/>
                <w:szCs w:val="13"/>
                <w:b w:val="1"/>
                <w:bCs w:val="1"/>
                <w:color w:val="auto"/>
                <w:w w:val="98"/>
              </w:rPr>
              <w:t>Ending December 31, 2026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416"/>
              <w:spacing w:after="0"/>
              <w:rPr>
                <w:sz w:val="20"/>
                <w:szCs w:val="20"/>
                <w:color w:val="auto"/>
              </w:rPr>
            </w:pPr>
            <w:r>
              <w:rPr>
                <w:rFonts w:ascii="Times New Roman" w:cs="Times New Roman" w:eastAsia="Times New Roman" w:hAnsi="Times New Roman"/>
                <w:sz w:val="13"/>
                <w:szCs w:val="13"/>
                <w:b w:val="1"/>
                <w:bCs w:val="1"/>
                <w:color w:val="auto"/>
                <w:w w:val="97"/>
              </w:rPr>
              <w:t>December 31, 2026</w:t>
            </w:r>
          </w:p>
        </w:tc>
        <w:tc>
          <w:tcPr>
            <w:tcW w:w="780" w:type="dxa"/>
            <w:vAlign w:val="bottom"/>
            <w:tcBorders>
              <w:bottom w:val="single" w:sz="8" w:color="auto"/>
            </w:tcBorders>
          </w:tcPr>
          <w:p>
            <w:pPr>
              <w:spacing w:after="0"/>
              <w:rPr>
                <w:sz w:val="18"/>
                <w:szCs w:val="18"/>
                <w:color w:val="auto"/>
              </w:rPr>
            </w:pPr>
          </w:p>
        </w:tc>
      </w:tr>
      <w:tr>
        <w:trPr>
          <w:trHeight w:val="192"/>
        </w:trPr>
        <w:tc>
          <w:tcPr>
            <w:tcW w:w="2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Low</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High</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Low</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w w:val="94"/>
              </w:rPr>
              <w:t>High</w:t>
            </w:r>
          </w:p>
        </w:tc>
      </w:tr>
      <w:tr>
        <w:trPr>
          <w:trHeight w:val="185"/>
        </w:trPr>
        <w:tc>
          <w:tcPr>
            <w:tcW w:w="3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6"/>
                <w:szCs w:val="16"/>
                <w:color w:val="auto"/>
              </w:rPr>
            </w:pPr>
          </w:p>
        </w:tc>
        <w:tc>
          <w:tcPr>
            <w:tcW w:w="46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6"/>
                <w:szCs w:val="16"/>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tcPr>
          <w:p>
            <w:pPr>
              <w:spacing w:after="0"/>
              <w:rPr>
                <w:sz w:val="16"/>
                <w:szCs w:val="16"/>
                <w:color w:val="auto"/>
              </w:rPr>
            </w:pPr>
          </w:p>
        </w:tc>
        <w:tc>
          <w:tcPr>
            <w:tcW w:w="50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241</w:t>
            </w:r>
          </w:p>
        </w:tc>
      </w:tr>
      <w:tr>
        <w:trPr>
          <w:trHeight w:val="209"/>
        </w:trPr>
        <w:tc>
          <w:tcPr>
            <w:tcW w:w="2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77</w:t>
            </w:r>
          </w:p>
        </w:tc>
      </w:tr>
      <w:tr>
        <w:trPr>
          <w:trHeight w:val="185"/>
        </w:trPr>
        <w:tc>
          <w:tcPr>
            <w:tcW w:w="2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318</w:t>
            </w:r>
          </w:p>
        </w:tc>
      </w:tr>
      <w:tr>
        <w:trPr>
          <w:trHeight w:val="202"/>
        </w:trPr>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278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278</w:t>
            </w:r>
          </w:p>
        </w:tc>
      </w:tr>
      <w:tr>
        <w:trPr>
          <w:trHeight w:val="202"/>
        </w:trPr>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152</w:t>
            </w:r>
          </w:p>
        </w:tc>
      </w:tr>
      <w:tr>
        <w:trPr>
          <w:trHeight w:val="202"/>
        </w:trPr>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28</w:t>
            </w:r>
          </w:p>
        </w:tc>
      </w:tr>
      <w:tr>
        <w:trPr>
          <w:trHeight w:val="202"/>
        </w:trPr>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7"/>
                <w:szCs w:val="17"/>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w:t>
            </w:r>
          </w:p>
        </w:tc>
      </w:tr>
      <w:tr>
        <w:trPr>
          <w:trHeight w:val="202"/>
        </w:trPr>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7"/>
                <w:szCs w:val="17"/>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r>
      <w:tr>
        <w:trPr>
          <w:trHeight w:val="209"/>
        </w:trPr>
        <w:tc>
          <w:tcPr>
            <w:tcW w:w="2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(15)</w:t>
            </w:r>
          </w:p>
        </w:tc>
      </w:tr>
      <w:tr>
        <w:trPr>
          <w:trHeight w:val="185"/>
        </w:trPr>
        <w:tc>
          <w:tcPr>
            <w:tcW w:w="29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267</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754</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774</w:t>
            </w:r>
          </w:p>
        </w:tc>
      </w:tr>
      <w:tr>
        <w:trPr>
          <w:trHeight w:val="202"/>
        </w:trPr>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r>
      <w:tr>
        <w:trPr>
          <w:trHeight w:val="209"/>
        </w:trPr>
        <w:tc>
          <w:tcPr>
            <w:tcW w:w="2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(201)</w:t>
            </w:r>
          </w:p>
        </w:tc>
      </w:tr>
      <w:tr>
        <w:trPr>
          <w:trHeight w:val="192"/>
        </w:trPr>
        <w:tc>
          <w:tcPr>
            <w:tcW w:w="3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183</w:t>
            </w:r>
          </w:p>
        </w:tc>
        <w:tc>
          <w:tcPr>
            <w:tcW w:w="100" w:type="dxa"/>
            <w:vAlign w:val="bottom"/>
          </w:tcPr>
          <w:p>
            <w:pPr>
              <w:spacing w:after="0"/>
              <w:rPr>
                <w:sz w:val="16"/>
                <w:szCs w:val="16"/>
                <w:color w:val="auto"/>
              </w:rPr>
            </w:pPr>
          </w:p>
        </w:tc>
        <w:tc>
          <w:tcPr>
            <w:tcW w:w="46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tcPr>
          <w:p>
            <w:pPr>
              <w:spacing w:after="0"/>
              <w:rPr>
                <w:sz w:val="16"/>
                <w:szCs w:val="16"/>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558</w:t>
            </w:r>
          </w:p>
        </w:tc>
        <w:tc>
          <w:tcPr>
            <w:tcW w:w="100" w:type="dxa"/>
            <w:vAlign w:val="bottom"/>
          </w:tcPr>
          <w:p>
            <w:pPr>
              <w:spacing w:after="0"/>
              <w:rPr>
                <w:sz w:val="16"/>
                <w:szCs w:val="16"/>
                <w:color w:val="auto"/>
              </w:rPr>
            </w:pPr>
          </w:p>
        </w:tc>
        <w:tc>
          <w:tcPr>
            <w:tcW w:w="50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573</w:t>
            </w:r>
          </w:p>
        </w:tc>
      </w:tr>
      <w:tr>
        <w:trPr>
          <w:trHeight w:val="20"/>
        </w:trPr>
        <w:tc>
          <w:tcPr>
            <w:tcW w:w="2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-1824990</wp:posOffset>
            </wp:positionH>
            <wp:positionV relativeFrom="paragraph">
              <wp:posOffset>-1717675</wp:posOffset>
            </wp:positionV>
            <wp:extent cx="7161530" cy="134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-1824990</wp:posOffset>
            </wp:positionH>
            <wp:positionV relativeFrom="paragraph">
              <wp:posOffset>-1454785</wp:posOffset>
            </wp:positionV>
            <wp:extent cx="7161530" cy="134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-1824990</wp:posOffset>
            </wp:positionH>
            <wp:positionV relativeFrom="paragraph">
              <wp:posOffset>-1191895</wp:posOffset>
            </wp:positionV>
            <wp:extent cx="7161530" cy="1282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-1824990</wp:posOffset>
            </wp:positionH>
            <wp:positionV relativeFrom="paragraph">
              <wp:posOffset>-935990</wp:posOffset>
            </wp:positionV>
            <wp:extent cx="7161530" cy="1282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-1824990</wp:posOffset>
            </wp:positionH>
            <wp:positionV relativeFrom="paragraph">
              <wp:posOffset>-680085</wp:posOffset>
            </wp:positionV>
            <wp:extent cx="7161530" cy="1282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-1824990</wp:posOffset>
            </wp:positionH>
            <wp:positionV relativeFrom="paragraph">
              <wp:posOffset>-417195</wp:posOffset>
            </wp:positionV>
            <wp:extent cx="7161530" cy="1282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-1824990</wp:posOffset>
            </wp:positionH>
            <wp:positionV relativeFrom="paragraph">
              <wp:posOffset>-161290</wp:posOffset>
            </wp:positionV>
            <wp:extent cx="7161530" cy="147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4795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2400" w:space="480"/>
            <w:col w:w="8400"/>
          </w:cols>
          <w:pgMar w:left="300" w:top="784" w:right="319" w:bottom="1440" w:gutter="0" w:footer="0" w:header="0"/>
        </w:sectPr>
      </w:pPr>
    </w:p>
    <w:tbl>
      <w:tblPr>
        <w:tblLayout w:type="fixed"/>
        <w:tblInd w:w="0" w:type="dxa"/>
        <w:tblCellMar>
          <w:top w:w="0" w:type="dxa"/>
          <w:left w:w="0" w:type="dxa"/>
          <w:bottom w:w="0" w:type="dxa"/>
          <w:right w:w="0" w:type="dxa"/>
        </w:tblCellMar>
      </w:tblPr>
      <w:tr>
        <w:trPr>
          <w:trHeight w:val="227"/>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Earnings per share - diluted</w:t>
            </w: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0.24</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0.27</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0.56</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0.60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EPS</w:t>
            </w: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0.46</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0.50</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1.41</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weighted average outstanding shares - diluted</w:t>
            </w: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400.0</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400.0</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405.0</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405.0</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__________________________</w:t>
            </w: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8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20" w:hanging="101"/>
        <w:spacing w:after="0"/>
        <w:tabs>
          <w:tab w:leader="none" w:pos="120" w:val="left"/>
        </w:tabs>
        <w:numPr>
          <w:ilvl w:val="0"/>
          <w:numId w:val="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The assumed tax rate approximates our statutory federal and state corporate tax rate for the applicable period.</w:t>
      </w:r>
    </w:p>
    <w:p>
      <w:pPr>
        <w:sectPr>
          <w:pgSz w:w="11900" w:h="16838" w:orient="portrait"/>
          <w:cols w:equalWidth="0" w:num="1">
            <w:col w:w="11280"/>
          </w:cols>
          <w:pgMar w:left="300" w:top="784" w:right="31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67"/>
        </w:trPr>
        <w:tc>
          <w:tcPr>
            <w:tcW w:w="7900" w:type="dxa"/>
            <w:vAlign w:val="bottom"/>
            <w:gridSpan w:val="5"/>
          </w:tcPr>
          <w:p>
            <w:pPr>
              <w:ind w:left="3460"/>
              <w:spacing w:after="0"/>
              <w:rPr>
                <w:sz w:val="20"/>
                <w:szCs w:val="20"/>
                <w:color w:val="auto"/>
              </w:rPr>
            </w:pPr>
            <w:r>
              <w:rPr>
                <w:rFonts w:ascii="Times New Roman" w:cs="Times New Roman" w:eastAsia="Times New Roman" w:hAnsi="Times New Roman"/>
                <w:sz w:val="13"/>
                <w:szCs w:val="13"/>
                <w:b w:val="1"/>
                <w:bCs w:val="1"/>
                <w:color w:val="auto"/>
                <w:w w:val="99"/>
              </w:rPr>
              <w:t>Reconciliation of Forward-Looking Guidance, Net Income to Adjusted EBITDA</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3"/>
        </w:trPr>
        <w:tc>
          <w:tcPr>
            <w:tcW w:w="6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3"/>
          </w:tcPr>
          <w:p>
            <w:pPr>
              <w:jc w:val="center"/>
              <w:ind w:left="436"/>
              <w:spacing w:after="0"/>
              <w:rPr>
                <w:sz w:val="20"/>
                <w:szCs w:val="20"/>
                <w:color w:val="auto"/>
              </w:rPr>
            </w:pPr>
            <w:r>
              <w:rPr>
                <w:rFonts w:ascii="Times New Roman" w:cs="Times New Roman" w:eastAsia="Times New Roman" w:hAnsi="Times New Roman"/>
                <w:sz w:val="13"/>
                <w:szCs w:val="13"/>
                <w:b w:val="1"/>
                <w:bCs w:val="1"/>
                <w:color w:val="auto"/>
                <w:w w:val="97"/>
              </w:rPr>
              <w:t>Guidance Range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3"/>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7"/>
              </w:rPr>
              <w:t>Guidance Range</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For the Three Months Ending</w:t>
            </w:r>
          </w:p>
        </w:tc>
        <w:tc>
          <w:tcPr>
            <w:tcW w:w="300" w:type="dxa"/>
            <w:vAlign w:val="bottom"/>
          </w:tcPr>
          <w:p>
            <w:pPr>
              <w:spacing w:after="0"/>
              <w:rPr>
                <w:sz w:val="17"/>
                <w:szCs w:val="17"/>
                <w:color w:val="auto"/>
              </w:rPr>
            </w:pPr>
          </w:p>
        </w:tc>
        <w:tc>
          <w:tcPr>
            <w:tcW w:w="2240" w:type="dxa"/>
            <w:vAlign w:val="bottom"/>
            <w:gridSpan w:val="4"/>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7"/>
              </w:rPr>
              <w:t>For the Year Ending</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416"/>
              <w:spacing w:after="0"/>
              <w:rPr>
                <w:sz w:val="20"/>
                <w:szCs w:val="20"/>
                <w:color w:val="auto"/>
              </w:rPr>
            </w:pPr>
            <w:r>
              <w:rPr>
                <w:rFonts w:ascii="Times New Roman" w:cs="Times New Roman" w:eastAsia="Times New Roman" w:hAnsi="Times New Roman"/>
                <w:sz w:val="13"/>
                <w:szCs w:val="13"/>
                <w:b w:val="1"/>
                <w:bCs w:val="1"/>
                <w:color w:val="auto"/>
                <w:w w:val="98"/>
              </w:rPr>
              <w:t>December 31, 2026</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7"/>
              </w:rPr>
              <w:t>December 31, 2026</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Low</w:t>
            </w:r>
          </w:p>
        </w:tc>
        <w:tc>
          <w:tcPr>
            <w:tcW w:w="46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High</w:t>
            </w:r>
          </w:p>
        </w:tc>
        <w:tc>
          <w:tcPr>
            <w:tcW w:w="300" w:type="dxa"/>
            <w:vAlign w:val="bottom"/>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Low</w:t>
            </w:r>
          </w:p>
        </w:tc>
        <w:tc>
          <w:tcPr>
            <w:tcW w:w="480" w:type="dxa"/>
            <w:vAlign w:val="bottom"/>
          </w:tcPr>
          <w:p>
            <w:pPr>
              <w:spacing w:after="0"/>
              <w:rPr>
                <w:sz w:val="16"/>
                <w:szCs w:val="16"/>
                <w:color w:val="auto"/>
              </w:rPr>
            </w:pPr>
          </w:p>
        </w:tc>
        <w:tc>
          <w:tcPr>
            <w:tcW w:w="74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w w:val="87"/>
              </w:rPr>
              <w:t>High</w:t>
            </w:r>
          </w:p>
        </w:tc>
        <w:tc>
          <w:tcPr>
            <w:tcW w:w="0" w:type="dxa"/>
            <w:vAlign w:val="bottom"/>
          </w:tcPr>
          <w:p>
            <w:pPr>
              <w:spacing w:after="0"/>
              <w:rPr>
                <w:sz w:val="1"/>
                <w:szCs w:val="1"/>
                <w:color w:val="auto"/>
              </w:rPr>
            </w:pPr>
          </w:p>
        </w:tc>
      </w:tr>
      <w:tr>
        <w:trPr>
          <w:trHeight w:val="200"/>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0" w:type="dxa"/>
            <w:vAlign w:val="bottom"/>
          </w:tcPr>
          <w:p>
            <w:pPr>
              <w:spacing w:after="0"/>
              <w:rPr>
                <w:sz w:val="1"/>
                <w:szCs w:val="1"/>
                <w:color w:val="auto"/>
              </w:rPr>
            </w:pPr>
          </w:p>
        </w:tc>
      </w:tr>
      <w:tr>
        <w:trPr>
          <w:trHeight w:val="194"/>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acquired intangible assets in cost of revenue</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Amortization of acquired intangible assets in operating expenses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0" w:type="dxa"/>
            <w:vAlign w:val="bottom"/>
          </w:tcPr>
          <w:p>
            <w:pPr>
              <w:spacing w:after="0"/>
              <w:rPr>
                <w:sz w:val="1"/>
                <w:szCs w:val="1"/>
                <w:color w:val="auto"/>
              </w:rPr>
            </w:pPr>
          </w:p>
        </w:tc>
      </w:tr>
      <w:tr>
        <w:trPr>
          <w:trHeight w:val="194"/>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Depreciation and other amortization</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expense (income), net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94"/>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 net</w:t>
            </w:r>
          </w:p>
        </w:tc>
        <w:tc>
          <w:tcPr>
            <w:tcW w:w="2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2"/>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 expense, net</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92"/>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EBITDA</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194"/>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Acquisition and integration related costs</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Restructuring and related costs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94"/>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Settlements and impairments</w:t>
            </w:r>
          </w:p>
        </w:tc>
        <w:tc>
          <w:tcPr>
            <w:tcW w:w="2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225"/>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w:t>
            </w:r>
            <w:r>
              <w:rPr>
                <w:rFonts w:ascii="Times New Roman" w:cs="Times New Roman" w:eastAsia="Times New Roman" w:hAnsi="Times New Roman"/>
                <w:sz w:val="16"/>
                <w:szCs w:val="16"/>
                <w:color w:val="auto"/>
                <w:vertAlign w:val="superscript"/>
              </w:rPr>
              <w:t>(1)</w:t>
            </w: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__________________________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1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40" w:hanging="121"/>
        <w:spacing w:after="0"/>
        <w:tabs>
          <w:tab w:leader="none" w:pos="14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Totals may not foot due to rounding.</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gridSpan w:val="3"/>
          </w:tcPr>
          <w:p>
            <w:pPr>
              <w:jc w:val="center"/>
              <w:ind w:right="325"/>
              <w:spacing w:after="0"/>
              <w:rPr>
                <w:sz w:val="20"/>
                <w:szCs w:val="20"/>
                <w:color w:val="auto"/>
              </w:rPr>
            </w:pPr>
            <w:r>
              <w:rPr>
                <w:rFonts w:ascii="Times New Roman" w:cs="Times New Roman" w:eastAsia="Times New Roman" w:hAnsi="Times New Roman"/>
                <w:sz w:val="13"/>
                <w:szCs w:val="13"/>
                <w:b w:val="1"/>
                <w:bCs w:val="1"/>
                <w:color w:val="auto"/>
                <w:w w:val="97"/>
              </w:rPr>
              <w:t>Guidance Range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3"/>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7"/>
              </w:rPr>
              <w:t>Guidance Range</w:t>
            </w:r>
          </w:p>
        </w:tc>
        <w:tc>
          <w:tcPr>
            <w:tcW w:w="740" w:type="dxa"/>
            <w:vAlign w:val="bottom"/>
          </w:tcPr>
          <w:p>
            <w:pPr>
              <w:spacing w:after="0"/>
              <w:rPr>
                <w:sz w:val="14"/>
                <w:szCs w:val="14"/>
                <w:color w:val="auto"/>
              </w:rPr>
            </w:pPr>
          </w:p>
        </w:tc>
      </w:tr>
      <w:tr>
        <w:trPr>
          <w:trHeight w:val="202"/>
        </w:trPr>
        <w:tc>
          <w:tcPr>
            <w:tcW w:w="6120" w:type="dxa"/>
            <w:vAlign w:val="bottom"/>
          </w:tcPr>
          <w:p>
            <w:pPr>
              <w:spacing w:after="0"/>
              <w:rPr>
                <w:sz w:val="17"/>
                <w:szCs w:val="17"/>
                <w:color w:val="auto"/>
              </w:rPr>
            </w:pPr>
          </w:p>
        </w:tc>
        <w:tc>
          <w:tcPr>
            <w:tcW w:w="2180" w:type="dxa"/>
            <w:vAlign w:val="bottom"/>
            <w:gridSpan w:val="4"/>
          </w:tcPr>
          <w:p>
            <w:pPr>
              <w:jc w:val="center"/>
              <w:ind w:left="276"/>
              <w:spacing w:after="0"/>
              <w:rPr>
                <w:sz w:val="20"/>
                <w:szCs w:val="20"/>
                <w:color w:val="auto"/>
              </w:rPr>
            </w:pPr>
            <w:r>
              <w:rPr>
                <w:rFonts w:ascii="Times New Roman" w:cs="Times New Roman" w:eastAsia="Times New Roman" w:hAnsi="Times New Roman"/>
                <w:sz w:val="13"/>
                <w:szCs w:val="13"/>
                <w:b w:val="1"/>
                <w:bCs w:val="1"/>
                <w:color w:val="auto"/>
                <w:w w:val="98"/>
              </w:rPr>
              <w:t>For the Three Months Ending</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40" w:type="dxa"/>
            <w:vAlign w:val="bottom"/>
            <w:gridSpan w:val="4"/>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7"/>
              </w:rPr>
              <w:t>For the Year Ending</w:t>
            </w:r>
          </w:p>
        </w:tc>
      </w:tr>
      <w:tr>
        <w:trPr>
          <w:trHeight w:val="209"/>
        </w:trPr>
        <w:tc>
          <w:tcPr>
            <w:tcW w:w="6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345"/>
              <w:spacing w:after="0"/>
              <w:rPr>
                <w:sz w:val="20"/>
                <w:szCs w:val="20"/>
                <w:color w:val="auto"/>
              </w:rPr>
            </w:pPr>
            <w:r>
              <w:rPr>
                <w:rFonts w:ascii="Times New Roman" w:cs="Times New Roman" w:eastAsia="Times New Roman" w:hAnsi="Times New Roman"/>
                <w:sz w:val="13"/>
                <w:szCs w:val="13"/>
                <w:b w:val="1"/>
                <w:bCs w:val="1"/>
                <w:color w:val="auto"/>
                <w:w w:val="98"/>
              </w:rPr>
              <w:t>December 31, 2026</w:t>
            </w: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7"/>
              </w:rPr>
              <w:t>December 31, 2026</w:t>
            </w:r>
          </w:p>
        </w:tc>
        <w:tc>
          <w:tcPr>
            <w:tcW w:w="740" w:type="dxa"/>
            <w:vAlign w:val="bottom"/>
            <w:tcBorders>
              <w:bottom w:val="single" w:sz="8" w:color="auto"/>
            </w:tcBorders>
          </w:tcPr>
          <w:p>
            <w:pPr>
              <w:spacing w:after="0"/>
              <w:rPr>
                <w:sz w:val="18"/>
                <w:szCs w:val="18"/>
                <w:color w:val="auto"/>
              </w:rPr>
            </w:pPr>
          </w:p>
        </w:tc>
      </w:tr>
      <w:tr>
        <w:trPr>
          <w:trHeight w:val="190"/>
        </w:trPr>
        <w:tc>
          <w:tcPr>
            <w:tcW w:w="6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Low</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High</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Low</w:t>
            </w:r>
          </w:p>
        </w:tc>
        <w:tc>
          <w:tcPr>
            <w:tcW w:w="480" w:type="dxa"/>
            <w:vAlign w:val="bottom"/>
          </w:tcPr>
          <w:p>
            <w:pPr>
              <w:spacing w:after="0"/>
              <w:rPr>
                <w:sz w:val="16"/>
                <w:szCs w:val="16"/>
                <w:color w:val="auto"/>
              </w:rPr>
            </w:pPr>
          </w:p>
        </w:tc>
        <w:tc>
          <w:tcPr>
            <w:tcW w:w="74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w w:val="87"/>
              </w:rPr>
              <w:t>High</w:t>
            </w:r>
          </w:p>
        </w:tc>
      </w:tr>
      <w:tr>
        <w:trPr>
          <w:trHeight w:val="183"/>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EBITDA</w:t>
            </w:r>
          </w:p>
        </w:tc>
        <w:tc>
          <w:tcPr>
            <w:tcW w:w="7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09"/>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Commercial Real Estate</w:t>
            </w:r>
          </w:p>
        </w:tc>
        <w:tc>
          <w:tcPr>
            <w:tcW w:w="74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w:t>
            </w:r>
          </w:p>
        </w:tc>
      </w:tr>
      <w:tr>
        <w:trPr>
          <w:trHeight w:val="194"/>
        </w:trPr>
        <w:tc>
          <w:tcPr>
            <w:tcW w:w="6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Residential Real Estate</w:t>
            </w:r>
          </w:p>
        </w:tc>
        <w:tc>
          <w:tcPr>
            <w:tcW w:w="7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225"/>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EBITDA</w:t>
            </w:r>
          </w:p>
        </w:tc>
        <w:tc>
          <w:tcPr>
            <w:tcW w:w="74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45"/>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0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94"/>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Commercial Real Estate</w:t>
            </w:r>
          </w:p>
        </w:tc>
        <w:tc>
          <w:tcPr>
            <w:tcW w:w="740" w:type="dxa"/>
            <w:vAlign w:val="bottom"/>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Pr>
          <w:p>
            <w:pPr>
              <w:spacing w:after="0"/>
              <w:rPr>
                <w:sz w:val="16"/>
                <w:szCs w:val="16"/>
                <w:color w:val="auto"/>
              </w:rPr>
            </w:pPr>
          </w:p>
        </w:tc>
        <w:tc>
          <w:tcPr>
            <w:tcW w:w="860" w:type="dxa"/>
            <w:vAlign w:val="bottom"/>
          </w:tcPr>
          <w:p>
            <w:pPr>
              <w:jc w:val="right"/>
              <w:ind w:right="745"/>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80" w:type="dxa"/>
            <w:vAlign w:val="bottom"/>
          </w:tcPr>
          <w:p>
            <w:pPr>
              <w:spacing w:after="0"/>
              <w:rPr>
                <w:sz w:val="16"/>
                <w:szCs w:val="16"/>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100" w:type="dxa"/>
            <w:vAlign w:val="bottom"/>
          </w:tcPr>
          <w:p>
            <w:pPr>
              <w:spacing w:after="0"/>
              <w:rPr>
                <w:sz w:val="16"/>
                <w:szCs w:val="16"/>
                <w:color w:val="auto"/>
              </w:rPr>
            </w:pPr>
          </w:p>
        </w:tc>
        <w:tc>
          <w:tcPr>
            <w:tcW w:w="48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w:t>
            </w:r>
          </w:p>
        </w:tc>
      </w:tr>
      <w:tr>
        <w:trPr>
          <w:trHeight w:val="202"/>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Residential Real Estate</w:t>
            </w:r>
          </w:p>
        </w:tc>
        <w:tc>
          <w:tcPr>
            <w:tcW w:w="7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r>
      <w:tr>
        <w:trPr>
          <w:trHeight w:val="200"/>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Adjusted EBITDA</w:t>
            </w:r>
          </w:p>
        </w:tc>
        <w:tc>
          <w:tcPr>
            <w:tcW w:w="7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ind w:right="745"/>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840</w:t>
            </w:r>
          </w:p>
        </w:tc>
      </w:tr>
      <w:tr>
        <w:trPr>
          <w:trHeight w:val="20"/>
        </w:trPr>
        <w:tc>
          <w:tcPr>
            <w:tcW w:w="6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784" w:right="31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3"/>
          <w:szCs w:val="13"/>
          <w:b w:val="1"/>
          <w:bCs w:val="1"/>
          <w:color w:val="auto"/>
        </w:rPr>
        <w:t>CoStar Group, Inc.</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Reconciliation of Non-GAAP Financial Measures - Unaudited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millions, except per share data)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Reconciliation of Net Income (Loss) to Adjusted Net Income and Adjusted EPS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60" w:type="dxa"/>
            <w:vAlign w:val="bottom"/>
          </w:tcPr>
          <w:p>
            <w:pPr>
              <w:spacing w:after="0"/>
              <w:rPr>
                <w:sz w:val="12"/>
                <w:szCs w:val="12"/>
                <w:color w:val="auto"/>
              </w:rPr>
            </w:pPr>
          </w:p>
        </w:tc>
        <w:tc>
          <w:tcPr>
            <w:tcW w:w="2180" w:type="dxa"/>
            <w:vAlign w:val="bottom"/>
            <w:gridSpan w:val="4"/>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3"/>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8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8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0" w:type="dxa"/>
            <w:vAlign w:val="bottom"/>
          </w:tcPr>
          <w:p>
            <w:pPr>
              <w:spacing w:after="0"/>
              <w:rPr>
                <w:sz w:val="1"/>
                <w:szCs w:val="1"/>
                <w:color w:val="auto"/>
              </w:rPr>
            </w:pPr>
          </w:p>
        </w:tc>
      </w:tr>
      <w:tr>
        <w:trPr>
          <w:trHeight w:val="20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94"/>
        </w:trPr>
        <w:tc>
          <w:tcPr>
            <w:tcW w:w="5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8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0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94"/>
        </w:trPr>
        <w:tc>
          <w:tcPr>
            <w:tcW w:w="5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acquired intangible assets</w:t>
            </w:r>
          </w:p>
        </w:tc>
        <w:tc>
          <w:tcPr>
            <w:tcW w:w="800" w:type="dxa"/>
            <w:vAlign w:val="bottom"/>
          </w:tcPr>
          <w:p>
            <w:pPr>
              <w:spacing w:after="0"/>
              <w:rPr>
                <w:sz w:val="16"/>
                <w:szCs w:val="16"/>
                <w:color w:val="auto"/>
              </w:rPr>
            </w:pPr>
          </w:p>
        </w:tc>
        <w:tc>
          <w:tcPr>
            <w:tcW w:w="4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123</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153</w:t>
            </w:r>
          </w:p>
        </w:tc>
        <w:tc>
          <w:tcPr>
            <w:tcW w:w="0" w:type="dxa"/>
            <w:vAlign w:val="bottom"/>
          </w:tcPr>
          <w:p>
            <w:pPr>
              <w:spacing w:after="0"/>
              <w:rPr>
                <w:sz w:val="1"/>
                <w:szCs w:val="1"/>
                <w:color w:val="auto"/>
              </w:rPr>
            </w:pPr>
          </w:p>
        </w:tc>
      </w:tr>
      <w:tr>
        <w:trPr>
          <w:trHeight w:val="194"/>
        </w:trPr>
        <w:tc>
          <w:tcPr>
            <w:tcW w:w="5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Acquisition and integration related costs included in income (loss) from operations</w:t>
            </w:r>
          </w:p>
        </w:tc>
        <w:tc>
          <w:tcPr>
            <w:tcW w:w="800" w:type="dxa"/>
            <w:vAlign w:val="bottom"/>
          </w:tcPr>
          <w:p>
            <w:pPr>
              <w:spacing w:after="0"/>
              <w:rPr>
                <w:sz w:val="16"/>
                <w:szCs w:val="16"/>
                <w:color w:val="auto"/>
              </w:rPr>
            </w:pPr>
          </w:p>
        </w:tc>
        <w:tc>
          <w:tcPr>
            <w:tcW w:w="4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77"/>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(Gains) losses on investments and deal-contingent foreign currency forward contracts related to an</w:t>
            </w: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acquisition</w:t>
            </w:r>
            <w:r>
              <w:rPr>
                <w:rFonts w:ascii="Times New Roman" w:cs="Times New Roman" w:eastAsia="Times New Roman" w:hAnsi="Times New Roman"/>
                <w:sz w:val="16"/>
                <w:szCs w:val="16"/>
                <w:color w:val="auto"/>
                <w:vertAlign w:val="superscript"/>
              </w:rPr>
              <w:t>(1)</w:t>
            </w:r>
          </w:p>
        </w:tc>
        <w:tc>
          <w:tcPr>
            <w:tcW w:w="8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94"/>
        </w:trPr>
        <w:tc>
          <w:tcPr>
            <w:tcW w:w="5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related to settlements</w:t>
            </w:r>
          </w:p>
        </w:tc>
        <w:tc>
          <w:tcPr>
            <w:tcW w:w="800" w:type="dxa"/>
            <w:vAlign w:val="bottom"/>
          </w:tcPr>
          <w:p>
            <w:pPr>
              <w:spacing w:after="0"/>
              <w:rPr>
                <w:sz w:val="16"/>
                <w:szCs w:val="16"/>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6"/>
                <w:szCs w:val="16"/>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6"/>
                <w:szCs w:val="16"/>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Restructuring and related costs</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94"/>
        </w:trPr>
        <w:tc>
          <w:tcPr>
            <w:tcW w:w="5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Settlements and impairments</w:t>
            </w:r>
          </w:p>
        </w:tc>
        <w:tc>
          <w:tcPr>
            <w:tcW w:w="800" w:type="dxa"/>
            <w:vAlign w:val="bottom"/>
          </w:tcPr>
          <w:p>
            <w:pPr>
              <w:spacing w:after="0"/>
              <w:rPr>
                <w:sz w:val="16"/>
                <w:szCs w:val="16"/>
                <w:color w:val="auto"/>
              </w:rPr>
            </w:pPr>
          </w:p>
        </w:tc>
        <w:tc>
          <w:tcPr>
            <w:tcW w:w="4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6"/>
                <w:szCs w:val="16"/>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92"/>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income before income taxes</w:t>
            </w:r>
          </w:p>
        </w:tc>
        <w:tc>
          <w:tcPr>
            <w:tcW w:w="80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507</w:t>
            </w: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314</w:t>
            </w:r>
          </w:p>
        </w:tc>
        <w:tc>
          <w:tcPr>
            <w:tcW w:w="0" w:type="dxa"/>
            <w:vAlign w:val="bottom"/>
          </w:tcPr>
          <w:p>
            <w:pPr>
              <w:spacing w:after="0"/>
              <w:rPr>
                <w:sz w:val="1"/>
                <w:szCs w:val="1"/>
                <w:color w:val="auto"/>
              </w:rPr>
            </w:pPr>
          </w:p>
        </w:tc>
      </w:tr>
      <w:tr>
        <w:trPr>
          <w:trHeight w:val="200"/>
        </w:trPr>
        <w:tc>
          <w:tcPr>
            <w:tcW w:w="5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Assumed rate for income tax expense</w:t>
            </w:r>
            <w:r>
              <w:rPr>
                <w:rFonts w:ascii="Times New Roman" w:cs="Times New Roman" w:eastAsia="Times New Roman" w:hAnsi="Times New Roman"/>
                <w:sz w:val="16"/>
                <w:szCs w:val="16"/>
                <w:color w:val="auto"/>
                <w:vertAlign w:val="superscript"/>
              </w:rPr>
              <w:t>(2)</w:t>
            </w: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0" w:type="dxa"/>
            <w:vAlign w:val="bottom"/>
          </w:tcPr>
          <w:p>
            <w:pPr>
              <w:spacing w:after="0"/>
              <w:rPr>
                <w:sz w:val="1"/>
                <w:szCs w:val="1"/>
                <w:color w:val="auto"/>
              </w:rPr>
            </w:pPr>
          </w:p>
        </w:tc>
      </w:tr>
      <w:tr>
        <w:trPr>
          <w:trHeight w:val="194"/>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Assumed provision for income tax expense</w:t>
            </w:r>
          </w:p>
        </w:tc>
        <w:tc>
          <w:tcPr>
            <w:tcW w:w="8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200"/>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Net Income</w:t>
            </w:r>
          </w:p>
        </w:tc>
        <w:tc>
          <w:tcPr>
            <w:tcW w:w="8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375</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233</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Earnings per share - diluted</w:t>
            </w:r>
          </w:p>
        </w:tc>
        <w:tc>
          <w:tcPr>
            <w:tcW w:w="8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0.18</w:t>
            </w: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(0.07)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0.32</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(0.09)</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EPS</w:t>
            </w:r>
          </w:p>
        </w:tc>
        <w:tc>
          <w:tcPr>
            <w:tcW w:w="80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0.38</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0.23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0.92</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0.55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outstanding shares - basic</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401.6</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419.9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406.2</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416.7</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Weighted-average outstanding shares - diluted</w:t>
            </w: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401.9</w:t>
            </w: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419.9</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406.7</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416.7</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dilutive shares</w:t>
            </w:r>
            <w:r>
              <w:rPr>
                <w:rFonts w:ascii="Times New Roman" w:cs="Times New Roman" w:eastAsia="Times New Roman" w:hAnsi="Times New Roman"/>
                <w:sz w:val="16"/>
                <w:szCs w:val="16"/>
                <w:color w:val="auto"/>
                <w:vertAlign w:val="superscript"/>
              </w:rPr>
              <w:t>(3)</w:t>
            </w:r>
          </w:p>
        </w:tc>
        <w:tc>
          <w:tcPr>
            <w:tcW w:w="8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weighted average shares, diluted</w:t>
            </w: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401.9</w:t>
            </w: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423.3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406.7</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421.0</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__________________________</w:t>
            </w: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8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40" w:hanging="121"/>
        <w:spacing w:after="0"/>
        <w:tabs>
          <w:tab w:leader="none" w:pos="140" w:val="left"/>
        </w:tabs>
        <w:numPr>
          <w:ilvl w:val="0"/>
          <w:numId w:val="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Recorded in other expense, net in the condensed consolidated statements of operations.</w:t>
      </w:r>
    </w:p>
    <w:p>
      <w:pPr>
        <w:spacing w:after="0" w:line="44" w:lineRule="exact"/>
        <w:rPr>
          <w:rFonts w:ascii="Times New Roman" w:cs="Times New Roman" w:eastAsia="Times New Roman" w:hAnsi="Times New Roman"/>
          <w:sz w:val="15"/>
          <w:szCs w:val="15"/>
          <w:color w:val="auto"/>
          <w:vertAlign w:val="superscript"/>
        </w:rPr>
      </w:pPr>
    </w:p>
    <w:p>
      <w:pPr>
        <w:ind w:left="120" w:hanging="101"/>
        <w:spacing w:after="0"/>
        <w:tabs>
          <w:tab w:leader="none" w:pos="120" w:val="left"/>
        </w:tabs>
        <w:numPr>
          <w:ilvl w:val="0"/>
          <w:numId w:val="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The assumed tax rate approximates our statutory federal and state corporate tax rate for the applicable period.</w:t>
      </w:r>
    </w:p>
    <w:p>
      <w:pPr>
        <w:spacing w:after="0" w:line="52" w:lineRule="exact"/>
        <w:rPr>
          <w:rFonts w:ascii="Times New Roman" w:cs="Times New Roman" w:eastAsia="Times New Roman" w:hAnsi="Times New Roman"/>
          <w:sz w:val="12"/>
          <w:szCs w:val="12"/>
          <w:color w:val="auto"/>
          <w:vertAlign w:val="superscript"/>
        </w:rPr>
      </w:pPr>
    </w:p>
    <w:p>
      <w:pPr>
        <w:ind w:left="20" w:right="20" w:hanging="1"/>
        <w:spacing w:after="0" w:line="282" w:lineRule="auto"/>
        <w:tabs>
          <w:tab w:leader="none" w:pos="124" w:val="left"/>
        </w:tabs>
        <w:numPr>
          <w:ilvl w:val="0"/>
          <w:numId w:val="4"/>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Includes the effect of potential common shares, such as the Company's stock options, restricted stock units, and deferred stock units, to the extent the effect is dilutive. In periods with a net loss available to common stockholders, the anti-dilutive effect of these potential common shares is excluded and earnings per share - diluted is equal to earnings per share - basic. Adjusted weighted average shares have been adjusted for these periods to include the dilutive impact.</w:t>
      </w:r>
    </w:p>
    <w:p>
      <w:pPr>
        <w:sectPr>
          <w:pgSz w:w="11900" w:h="16838" w:orient="portrait"/>
          <w:cols w:equalWidth="0" w:num="1">
            <w:col w:w="11280"/>
          </w:cols>
          <w:pgMar w:left="300" w:top="784" w:right="319" w:bottom="1440" w:gutter="0" w:footer="0" w:header="0"/>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income (loss)</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Amortization of acquired intangible assets in cost of revenue</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Amortization of acquired intangible assets in operating expenses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Depreciation and other amortization</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Interest (income) expense, net</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 xml:space="preserve">Other (income) expense, net </w:t>
      </w:r>
      <w:r>
        <w:rPr>
          <w:rFonts w:ascii="Times New Roman" w:cs="Times New Roman" w:eastAsia="Times New Roman" w:hAnsi="Times New Roman"/>
          <w:sz w:val="16"/>
          <w:szCs w:val="16"/>
          <w:color w:val="auto"/>
          <w:vertAlign w:val="superscript"/>
        </w:rPr>
        <w:t>(1)</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Income tax expense, net</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EBITDA</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Acquisition and integration related costs</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Restructuring and related costs</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Settlements and impairments</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Adjusted EBITDA</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__________________________</w:t>
      </w:r>
    </w:p>
    <w:p>
      <w:pPr>
        <w:spacing w:after="0" w:line="20" w:lineRule="exact"/>
        <w:rPr>
          <w:sz w:val="20"/>
          <w:szCs w:val="20"/>
          <w:color w:val="auto"/>
        </w:rPr>
      </w:pPr>
      <w:r>
        <w:rPr>
          <w:sz w:val="20"/>
          <w:szCs w:val="20"/>
          <w:color w:val="auto"/>
        </w:rPr>
        <w:br w:type="column"/>
      </w:r>
    </w:p>
    <w:p>
      <w:pPr>
        <w:jc w:val="center"/>
        <w:ind w:right="3700"/>
        <w:spacing w:after="0"/>
        <w:rPr>
          <w:sz w:val="20"/>
          <w:szCs w:val="20"/>
          <w:color w:val="auto"/>
        </w:rPr>
      </w:pPr>
      <w:r>
        <w:rPr>
          <w:rFonts w:ascii="Times New Roman" w:cs="Times New Roman" w:eastAsia="Times New Roman" w:hAnsi="Times New Roman"/>
          <w:sz w:val="13"/>
          <w:szCs w:val="13"/>
          <w:b w:val="1"/>
          <w:bCs w:val="1"/>
          <w:color w:val="auto"/>
        </w:rPr>
        <w:t>CoStar Group, Inc.</w:t>
      </w:r>
    </w:p>
    <w:p>
      <w:pPr>
        <w:spacing w:after="0" w:line="52"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3"/>
          <w:szCs w:val="13"/>
          <w:b w:val="1"/>
          <w:bCs w:val="1"/>
          <w:color w:val="auto"/>
        </w:rPr>
        <w:t>Reconciliation of Non-GAAP Financial Measures - Unaudited</w:t>
      </w:r>
    </w:p>
    <w:p>
      <w:pPr>
        <w:spacing w:after="0" w:line="54"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3"/>
          <w:szCs w:val="13"/>
          <w:color w:val="auto"/>
        </w:rPr>
        <w:t>(in millions)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Reconciliation of Net Income (Loss) to EBITDA and Adjusted EBITDA</w:t>
      </w:r>
    </w:p>
    <w:p>
      <w:pPr>
        <w:spacing w:after="0" w:line="253" w:lineRule="exact"/>
        <w:rPr>
          <w:sz w:val="20"/>
          <w:szCs w:val="20"/>
          <w:color w:val="auto"/>
        </w:rPr>
      </w:pPr>
    </w:p>
    <w:tbl>
      <w:tblPr>
        <w:tblLayout w:type="fixed"/>
        <w:tblInd w:w="2420" w:type="dxa"/>
        <w:tblCellMar>
          <w:top w:w="0" w:type="dxa"/>
          <w:left w:w="0" w:type="dxa"/>
          <w:bottom w:w="0" w:type="dxa"/>
          <w:right w:w="0" w:type="dxa"/>
        </w:tblCellMar>
      </w:tblPr>
      <w:tr>
        <w:trPr>
          <w:trHeight w:val="149"/>
        </w:trPr>
        <w:tc>
          <w:tcPr>
            <w:tcW w:w="2180" w:type="dxa"/>
            <w:vAlign w:val="bottom"/>
            <w:gridSpan w:val="4"/>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gridSpan w:val="4"/>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67"/>
        </w:trPr>
        <w:tc>
          <w:tcPr>
            <w:tcW w:w="800" w:type="dxa"/>
            <w:vAlign w:val="bottom"/>
          </w:tcPr>
          <w:p>
            <w:pPr>
              <w:spacing w:after="0"/>
              <w:rPr>
                <w:sz w:val="14"/>
                <w:szCs w:val="14"/>
                <w:color w:val="auto"/>
              </w:rPr>
            </w:pPr>
          </w:p>
        </w:tc>
        <w:tc>
          <w:tcPr>
            <w:tcW w:w="1380" w:type="dxa"/>
            <w:vAlign w:val="bottom"/>
            <w:gridSpan w:val="3"/>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0" w:type="dxa"/>
            <w:vAlign w:val="bottom"/>
          </w:tcPr>
          <w:p>
            <w:pPr>
              <w:spacing w:after="0"/>
              <w:rPr>
                <w:sz w:val="14"/>
                <w:szCs w:val="14"/>
                <w:color w:val="auto"/>
              </w:rPr>
            </w:pPr>
          </w:p>
        </w:tc>
      </w:tr>
      <w:tr>
        <w:trPr>
          <w:trHeight w:val="26"/>
        </w:trPr>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5"/>
        </w:trPr>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85"/>
        </w:trPr>
        <w:tc>
          <w:tcPr>
            <w:tcW w:w="800" w:type="dxa"/>
            <w:vAlign w:val="bottom"/>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6"/>
                <w:szCs w:val="16"/>
                <w:color w:val="auto"/>
              </w:rPr>
            </w:pPr>
          </w:p>
        </w:tc>
        <w:tc>
          <w:tcPr>
            <w:tcW w:w="860" w:type="dxa"/>
            <w:vAlign w:val="bottom"/>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6"/>
                <w:szCs w:val="16"/>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Pr>
          <w:p>
            <w:pPr>
              <w:spacing w:after="0"/>
              <w:rPr>
                <w:sz w:val="16"/>
                <w:szCs w:val="16"/>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202"/>
        </w:trPr>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202"/>
        </w:trPr>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202"/>
        </w:trPr>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202"/>
        </w:trPr>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202"/>
        </w:trPr>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209"/>
        </w:trPr>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85"/>
        </w:trPr>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202"/>
        </w:trPr>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r>
      <w:tr>
        <w:trPr>
          <w:trHeight w:val="202"/>
        </w:trPr>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202"/>
        </w:trPr>
        <w:tc>
          <w:tcPr>
            <w:tcW w:w="80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209"/>
        </w:trPr>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92"/>
        </w:trPr>
        <w:tc>
          <w:tcPr>
            <w:tcW w:w="80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-1710690</wp:posOffset>
            </wp:positionV>
            <wp:extent cx="7161530" cy="134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-1447800</wp:posOffset>
            </wp:positionV>
            <wp:extent cx="7161530" cy="1282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-1191895</wp:posOffset>
            </wp:positionV>
            <wp:extent cx="7161530" cy="1282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-935990</wp:posOffset>
            </wp:positionV>
            <wp:extent cx="7161530" cy="1282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-673100</wp:posOffset>
            </wp:positionV>
            <wp:extent cx="7161530" cy="1282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-417195</wp:posOffset>
            </wp:positionV>
            <wp:extent cx="7161530" cy="1282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-161290</wp:posOffset>
            </wp:positionV>
            <wp:extent cx="7161530" cy="147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14795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3480" w:space="220"/>
            <w:col w:w="7580"/>
          </w:cols>
          <w:pgMar w:left="300" w:top="784" w:right="319" w:bottom="1440" w:gutter="0" w:footer="0" w:header="0"/>
        </w:sectPr>
      </w:pPr>
    </w:p>
    <w:p>
      <w:pPr>
        <w:ind w:left="20" w:right="20" w:hanging="1"/>
        <w:spacing w:after="0" w:line="282" w:lineRule="auto"/>
        <w:tabs>
          <w:tab w:leader="none" w:pos="124" w:val="left"/>
        </w:tabs>
        <w:numPr>
          <w:ilvl w:val="0"/>
          <w:numId w:val="5"/>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Includes $3 million and $4 million of depreciation and amortization expense, including above-market lease amortization associated with lessor activities for the three months ended September 30, 2026 and 2025, respectively, and $11 million and $17 million for the nine months ended September 30, 2026 and 2025, respectively.</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CoStar Group,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Results of Segments - Unaudited</w:t>
      </w:r>
      <w:r>
        <w:rPr>
          <w:rFonts w:ascii="Times New Roman" w:cs="Times New Roman" w:eastAsia="Times New Roman" w:hAnsi="Times New Roman"/>
          <w:sz w:val="16"/>
          <w:szCs w:val="16"/>
          <w:b w:val="1"/>
          <w:bCs w:val="1"/>
          <w:color w:val="auto"/>
          <w:vertAlign w:val="superscript"/>
        </w:rPr>
        <w:t>(1)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20" w:type="dxa"/>
            <w:vAlign w:val="bottom"/>
          </w:tcPr>
          <w:p>
            <w:pPr>
              <w:spacing w:after="0"/>
              <w:rPr>
                <w:sz w:val="12"/>
                <w:szCs w:val="12"/>
                <w:color w:val="auto"/>
              </w:rPr>
            </w:pPr>
          </w:p>
        </w:tc>
        <w:tc>
          <w:tcPr>
            <w:tcW w:w="2140" w:type="dxa"/>
            <w:vAlign w:val="bottom"/>
            <w:gridSpan w:val="4"/>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gridSpan w:val="4"/>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67"/>
        </w:trPr>
        <w:tc>
          <w:tcPr>
            <w:tcW w:w="6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gridSpan w:val="3"/>
          </w:tcPr>
          <w:p>
            <w:pPr>
              <w:jc w:val="right"/>
              <w:ind w:right="425"/>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6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1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83"/>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EBITDA</w:t>
            </w: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Commercial Real Estate</w:t>
            </w:r>
          </w:p>
        </w:tc>
        <w:tc>
          <w:tcPr>
            <w:tcW w:w="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0" w:type="dxa"/>
            <w:vAlign w:val="bottom"/>
          </w:tcPr>
          <w:p>
            <w:pPr>
              <w:spacing w:after="0"/>
              <w:rPr>
                <w:sz w:val="1"/>
                <w:szCs w:val="1"/>
                <w:color w:val="auto"/>
              </w:rPr>
            </w:pPr>
          </w:p>
        </w:tc>
      </w:tr>
      <w:tr>
        <w:trPr>
          <w:trHeight w:val="194"/>
        </w:trPr>
        <w:tc>
          <w:tcPr>
            <w:tcW w:w="6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Residential Real Estate</w:t>
            </w: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EBITDA</w:t>
            </w:r>
          </w:p>
        </w:tc>
        <w:tc>
          <w:tcPr>
            <w:tcW w:w="80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Commercial Real Estate</w:t>
            </w:r>
          </w:p>
        </w:tc>
        <w:tc>
          <w:tcPr>
            <w:tcW w:w="800" w:type="dxa"/>
            <w:vAlign w:val="bottom"/>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0" w:type="dxa"/>
            <w:vAlign w:val="bottom"/>
          </w:tcPr>
          <w:p>
            <w:pPr>
              <w:spacing w:after="0"/>
              <w:rPr>
                <w:sz w:val="16"/>
                <w:szCs w:val="16"/>
                <w:color w:val="auto"/>
              </w:rPr>
            </w:pPr>
          </w:p>
        </w:tc>
        <w:tc>
          <w:tcPr>
            <w:tcW w:w="820" w:type="dxa"/>
            <w:vAlign w:val="bottom"/>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80" w:type="dxa"/>
            <w:vAlign w:val="bottom"/>
          </w:tcPr>
          <w:p>
            <w:pPr>
              <w:spacing w:after="0"/>
              <w:rPr>
                <w:sz w:val="16"/>
                <w:szCs w:val="16"/>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100" w:type="dxa"/>
            <w:vAlign w:val="bottom"/>
          </w:tcPr>
          <w:p>
            <w:pPr>
              <w:spacing w:after="0"/>
              <w:rPr>
                <w:sz w:val="16"/>
                <w:szCs w:val="16"/>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0" w:type="dxa"/>
            <w:vAlign w:val="bottom"/>
          </w:tcPr>
          <w:p>
            <w:pPr>
              <w:spacing w:after="0"/>
              <w:rPr>
                <w:sz w:val="1"/>
                <w:szCs w:val="1"/>
                <w:color w:val="auto"/>
              </w:rPr>
            </w:pPr>
          </w:p>
        </w:tc>
      </w:tr>
      <w:tr>
        <w:trPr>
          <w:trHeight w:val="202"/>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Residential Real Estate</w:t>
            </w: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0" w:type="dxa"/>
            <w:vAlign w:val="bottom"/>
          </w:tcPr>
          <w:p>
            <w:pPr>
              <w:spacing w:after="0"/>
              <w:rPr>
                <w:sz w:val="1"/>
                <w:szCs w:val="1"/>
                <w:color w:val="auto"/>
              </w:rPr>
            </w:pPr>
          </w:p>
        </w:tc>
      </w:tr>
      <w:tr>
        <w:trPr>
          <w:trHeight w:val="200"/>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Adjusted EBITDA</w:t>
            </w:r>
          </w:p>
        </w:tc>
        <w:tc>
          <w:tcPr>
            <w:tcW w:w="8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__________________________</w:t>
            </w: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1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40" w:hanging="121"/>
        <w:spacing w:after="0"/>
        <w:tabs>
          <w:tab w:leader="none" w:pos="140" w:val="left"/>
        </w:tabs>
        <w:numPr>
          <w:ilvl w:val="0"/>
          <w:numId w:val="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During the fourth quarter of 2025, we changed the composition of our segments from geography-based to product portfolio-based. We have recast certain prior period disclosures to align with new segments.</w:t>
      </w:r>
    </w:p>
    <w:p>
      <w:pPr>
        <w:sectPr>
          <w:pgSz w:w="11900" w:h="16838" w:orient="portrait"/>
          <w:cols w:equalWidth="0" w:num="1">
            <w:col w:w="11280"/>
          </w:cols>
          <w:pgMar w:left="300" w:top="784" w:right="319" w:bottom="144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3"/>
          <w:szCs w:val="13"/>
          <w:b w:val="1"/>
          <w:bCs w:val="1"/>
          <w:color w:val="auto"/>
        </w:rPr>
        <w:t>CoStar Group, Inc.</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Reconciliation of Non-GAAP Financial Measures with Quarterly Results - Unaudited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millions,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160" w:type="dxa"/>
            <w:vAlign w:val="bottom"/>
            <w:gridSpan w:val="14"/>
          </w:tcPr>
          <w:p>
            <w:pPr>
              <w:ind w:left="3500"/>
              <w:spacing w:after="0"/>
              <w:rPr>
                <w:sz w:val="20"/>
                <w:szCs w:val="20"/>
                <w:color w:val="auto"/>
              </w:rPr>
            </w:pPr>
            <w:r>
              <w:rPr>
                <w:rFonts w:ascii="Times New Roman" w:cs="Times New Roman" w:eastAsia="Times New Roman" w:hAnsi="Times New Roman"/>
                <w:sz w:val="13"/>
                <w:szCs w:val="13"/>
                <w:b w:val="1"/>
                <w:bCs w:val="1"/>
                <w:color w:val="auto"/>
              </w:rPr>
              <w:t>Reconciliation of Net Income (Loss) to Adjusted Net Income and Adjusted EPS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11"/>
        </w:trPr>
        <w:tc>
          <w:tcPr>
            <w:tcW w:w="3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2"/>
              </w:rPr>
              <w:t>2026</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92"/>
        </w:trPr>
        <w:tc>
          <w:tcPr>
            <w:tcW w:w="3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6"/>
              </w:rPr>
              <w:t>Q1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6"/>
              </w:rPr>
              <w:t>Q2</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6"/>
              </w:rPr>
              <w:t>Q3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Q4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6"/>
              </w:rPr>
              <w:t>Q1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6"/>
              </w:rPr>
              <w:t>Q2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Q3</w:t>
            </w:r>
          </w:p>
        </w:tc>
      </w:tr>
      <w:tr>
        <w:trPr>
          <w:trHeight w:val="20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6</w:t>
            </w:r>
          </w:p>
        </w:tc>
        <w:tc>
          <w:tcPr>
            <w:tcW w:w="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74</w:t>
            </w:r>
          </w:p>
        </w:tc>
      </w:tr>
      <w:tr>
        <w:trPr>
          <w:trHeight w:val="194"/>
        </w:trPr>
        <w:tc>
          <w:tcPr>
            <w:tcW w:w="3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10</w:t>
            </w:r>
          </w:p>
        </w:tc>
      </w:tr>
      <w:tr>
        <w:trPr>
          <w:trHeight w:val="20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84</w:t>
            </w:r>
          </w:p>
        </w:tc>
      </w:tr>
      <w:tr>
        <w:trPr>
          <w:trHeight w:val="194"/>
        </w:trPr>
        <w:tc>
          <w:tcPr>
            <w:tcW w:w="3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acquired intangible assets</w:t>
            </w:r>
          </w:p>
        </w:tc>
        <w:tc>
          <w:tcPr>
            <w:tcW w:w="200" w:type="dxa"/>
            <w:vAlign w:val="bottom"/>
          </w:tcPr>
          <w:p>
            <w:pPr>
              <w:spacing w:after="0"/>
              <w:rPr>
                <w:sz w:val="16"/>
                <w:szCs w:val="16"/>
                <w:color w:val="auto"/>
              </w:rPr>
            </w:pPr>
          </w:p>
        </w:tc>
        <w:tc>
          <w:tcPr>
            <w:tcW w:w="7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73</w:t>
            </w:r>
          </w:p>
        </w:tc>
      </w:tr>
      <w:tr>
        <w:trPr>
          <w:trHeight w:val="209"/>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32</w:t>
            </w:r>
          </w:p>
        </w:tc>
      </w:tr>
      <w:tr>
        <w:trPr>
          <w:trHeight w:val="170"/>
        </w:trPr>
        <w:tc>
          <w:tcPr>
            <w:tcW w:w="39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8"/>
              </w:rPr>
              <w:t>Acquisition and integration related costs included in income (loss) from</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4"/>
        </w:trPr>
        <w:tc>
          <w:tcPr>
            <w:tcW w:w="3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operations</w:t>
            </w:r>
          </w:p>
        </w:tc>
        <w:tc>
          <w:tcPr>
            <w:tcW w:w="200" w:type="dxa"/>
            <w:vAlign w:val="bottom"/>
          </w:tcPr>
          <w:p>
            <w:pPr>
              <w:spacing w:after="0"/>
              <w:rPr>
                <w:sz w:val="15"/>
                <w:szCs w:val="15"/>
                <w:color w:val="auto"/>
              </w:rPr>
            </w:pPr>
          </w:p>
        </w:tc>
        <w:tc>
          <w:tcPr>
            <w:tcW w:w="7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15</w:t>
            </w:r>
          </w:p>
        </w:tc>
      </w:tr>
      <w:tr>
        <w:trPr>
          <w:trHeight w:val="177"/>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(Gains) losses on investments and deal-contingent foreign currency</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91"/>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forward contracts related to an acquisition</w:t>
            </w:r>
            <w:r>
              <w:rPr>
                <w:rFonts w:ascii="Times New Roman" w:cs="Times New Roman" w:eastAsia="Times New Roman" w:hAnsi="Times New Roman"/>
                <w:sz w:val="16"/>
                <w:szCs w:val="16"/>
                <w:color w:val="auto"/>
                <w:vertAlign w:val="superscript"/>
              </w:rPr>
              <w:t>(1)</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94"/>
        </w:trPr>
        <w:tc>
          <w:tcPr>
            <w:tcW w:w="3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related to settlements</w:t>
            </w:r>
          </w:p>
        </w:tc>
        <w:tc>
          <w:tcPr>
            <w:tcW w:w="2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7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209"/>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Restructuring and related costs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94"/>
        </w:trPr>
        <w:tc>
          <w:tcPr>
            <w:tcW w:w="3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Settlements and impairments</w:t>
            </w:r>
          </w:p>
        </w:tc>
        <w:tc>
          <w:tcPr>
            <w:tcW w:w="200" w:type="dxa"/>
            <w:vAlign w:val="bottom"/>
          </w:tcPr>
          <w:p>
            <w:pPr>
              <w:spacing w:after="0"/>
              <w:rPr>
                <w:sz w:val="16"/>
                <w:szCs w:val="16"/>
                <w:color w:val="auto"/>
              </w:rPr>
            </w:pPr>
          </w:p>
        </w:tc>
        <w:tc>
          <w:tcPr>
            <w:tcW w:w="7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r>
      <w:tr>
        <w:trPr>
          <w:trHeight w:val="20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income before income taxes</w:t>
            </w: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207</w:t>
            </w:r>
          </w:p>
        </w:tc>
      </w:tr>
      <w:tr>
        <w:trPr>
          <w:trHeight w:val="202"/>
        </w:trPr>
        <w:tc>
          <w:tcPr>
            <w:tcW w:w="3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Assumed rate for income tax expense</w:t>
            </w:r>
            <w:r>
              <w:rPr>
                <w:rFonts w:ascii="Times New Roman" w:cs="Times New Roman" w:eastAsia="Times New Roman" w:hAnsi="Times New Roman"/>
                <w:sz w:val="16"/>
                <w:szCs w:val="16"/>
                <w:color w:val="auto"/>
                <w:vertAlign w:val="superscript"/>
              </w:rPr>
              <w:t>(2)</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r>
      <w:tr>
        <w:trPr>
          <w:trHeight w:val="19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Assumed provision for income tax expense</w:t>
            </w: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(54)</w:t>
            </w:r>
          </w:p>
        </w:tc>
      </w:tr>
      <w:tr>
        <w:trPr>
          <w:trHeight w:val="200"/>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Net Income</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Pr>
          <w:p>
            <w:pPr>
              <w:spacing w:after="0"/>
              <w:rPr>
                <w:sz w:val="17"/>
                <w:szCs w:val="17"/>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74</w:t>
            </w: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tcPr>
          <w:p>
            <w:pPr>
              <w:spacing w:after="0"/>
              <w:rPr>
                <w:sz w:val="17"/>
                <w:szCs w:val="17"/>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tcPr>
          <w:p>
            <w:pPr>
              <w:spacing w:after="0"/>
              <w:rPr>
                <w:sz w:val="17"/>
                <w:szCs w:val="17"/>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tcPr>
          <w:p>
            <w:pPr>
              <w:spacing w:after="0"/>
              <w:rPr>
                <w:sz w:val="17"/>
                <w:szCs w:val="17"/>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tcPr>
          <w:p>
            <w:pPr>
              <w:spacing w:after="0"/>
              <w:rPr>
                <w:sz w:val="17"/>
                <w:szCs w:val="17"/>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153</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3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202"/>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EPS</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0.15</w:t>
            </w:r>
          </w:p>
        </w:tc>
        <w:tc>
          <w:tcPr>
            <w:tcW w:w="80" w:type="dxa"/>
            <w:vAlign w:val="bottom"/>
          </w:tcPr>
          <w:p>
            <w:pPr>
              <w:spacing w:after="0"/>
              <w:rPr>
                <w:sz w:val="17"/>
                <w:szCs w:val="17"/>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0.17</w:t>
            </w: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0.23</w:t>
            </w:r>
          </w:p>
        </w:tc>
        <w:tc>
          <w:tcPr>
            <w:tcW w:w="100" w:type="dxa"/>
            <w:vAlign w:val="bottom"/>
          </w:tcPr>
          <w:p>
            <w:pPr>
              <w:spacing w:after="0"/>
              <w:rPr>
                <w:sz w:val="17"/>
                <w:szCs w:val="17"/>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0.31</w:t>
            </w:r>
          </w:p>
        </w:tc>
        <w:tc>
          <w:tcPr>
            <w:tcW w:w="100" w:type="dxa"/>
            <w:vAlign w:val="bottom"/>
          </w:tcPr>
          <w:p>
            <w:pPr>
              <w:spacing w:after="0"/>
              <w:rPr>
                <w:sz w:val="17"/>
                <w:szCs w:val="17"/>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0.23</w:t>
            </w:r>
          </w:p>
        </w:tc>
        <w:tc>
          <w:tcPr>
            <w:tcW w:w="100" w:type="dxa"/>
            <w:vAlign w:val="bottom"/>
          </w:tcPr>
          <w:p>
            <w:pPr>
              <w:spacing w:after="0"/>
              <w:rPr>
                <w:sz w:val="17"/>
                <w:szCs w:val="17"/>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0.32</w:t>
            </w:r>
          </w:p>
        </w:tc>
        <w:tc>
          <w:tcPr>
            <w:tcW w:w="100" w:type="dxa"/>
            <w:vAlign w:val="bottom"/>
          </w:tcPr>
          <w:p>
            <w:pPr>
              <w:spacing w:after="0"/>
              <w:rPr>
                <w:sz w:val="17"/>
                <w:szCs w:val="17"/>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0.38</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3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94"/>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Weighted-average outstanding shares - diluted</w:t>
            </w:r>
          </w:p>
        </w:tc>
        <w:tc>
          <w:tcPr>
            <w:tcW w:w="200" w:type="dxa"/>
            <w:vAlign w:val="bottom"/>
          </w:tcPr>
          <w:p>
            <w:pPr>
              <w:spacing w:after="0"/>
              <w:rPr>
                <w:sz w:val="16"/>
                <w:szCs w:val="16"/>
                <w:color w:val="auto"/>
              </w:rPr>
            </w:pPr>
          </w:p>
        </w:tc>
        <w:tc>
          <w:tcPr>
            <w:tcW w:w="76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auto"/>
                <w:w w:val="95"/>
              </w:rPr>
              <w:t>410.5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auto"/>
                <w:w w:val="95"/>
              </w:rPr>
              <w:t>424.3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center"/>
              <w:ind w:right="156"/>
              <w:spacing w:after="0"/>
              <w:rPr>
                <w:sz w:val="20"/>
                <w:szCs w:val="20"/>
                <w:color w:val="auto"/>
              </w:rPr>
            </w:pPr>
            <w:r>
              <w:rPr>
                <w:rFonts w:ascii="Times New Roman" w:cs="Times New Roman" w:eastAsia="Times New Roman" w:hAnsi="Times New Roman"/>
                <w:sz w:val="13"/>
                <w:szCs w:val="13"/>
                <w:color w:val="auto"/>
                <w:w w:val="95"/>
              </w:rPr>
              <w:t>419.9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center"/>
              <w:ind w:right="156"/>
              <w:spacing w:after="0"/>
              <w:rPr>
                <w:sz w:val="20"/>
                <w:szCs w:val="20"/>
                <w:color w:val="auto"/>
              </w:rPr>
            </w:pPr>
            <w:r>
              <w:rPr>
                <w:rFonts w:ascii="Times New Roman" w:cs="Times New Roman" w:eastAsia="Times New Roman" w:hAnsi="Times New Roman"/>
                <w:sz w:val="13"/>
                <w:szCs w:val="13"/>
                <w:color w:val="auto"/>
              </w:rPr>
              <w:t>419.6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auto"/>
                <w:w w:val="95"/>
              </w:rPr>
              <w:t>414.0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center"/>
              <w:ind w:right="156"/>
              <w:spacing w:after="0"/>
              <w:rPr>
                <w:sz w:val="20"/>
                <w:szCs w:val="20"/>
                <w:color w:val="auto"/>
              </w:rPr>
            </w:pPr>
            <w:r>
              <w:rPr>
                <w:rFonts w:ascii="Times New Roman" w:cs="Times New Roman" w:eastAsia="Times New Roman" w:hAnsi="Times New Roman"/>
                <w:sz w:val="13"/>
                <w:szCs w:val="13"/>
                <w:color w:val="auto"/>
              </w:rPr>
              <w:t>404.4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center"/>
              <w:ind w:right="156"/>
              <w:spacing w:after="0"/>
              <w:rPr>
                <w:sz w:val="20"/>
                <w:szCs w:val="20"/>
                <w:color w:val="auto"/>
              </w:rPr>
            </w:pPr>
            <w:r>
              <w:rPr>
                <w:rFonts w:ascii="Times New Roman" w:cs="Times New Roman" w:eastAsia="Times New Roman" w:hAnsi="Times New Roman"/>
                <w:sz w:val="13"/>
                <w:szCs w:val="13"/>
                <w:color w:val="auto"/>
              </w:rPr>
              <w:t>401.9</w:t>
            </w:r>
          </w:p>
        </w:tc>
      </w:tr>
      <w:tr>
        <w:trPr>
          <w:trHeight w:val="20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dilutive shares</w:t>
            </w:r>
            <w:r>
              <w:rPr>
                <w:rFonts w:ascii="Times New Roman" w:cs="Times New Roman" w:eastAsia="Times New Roman" w:hAnsi="Times New Roman"/>
                <w:sz w:val="16"/>
                <w:szCs w:val="16"/>
                <w:color w:val="auto"/>
                <w:vertAlign w:val="superscript"/>
              </w:rPr>
              <w:t>(3)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136"/>
              <w:spacing w:after="0"/>
              <w:rPr>
                <w:sz w:val="20"/>
                <w:szCs w:val="20"/>
                <w:color w:val="auto"/>
              </w:rPr>
            </w:pPr>
            <w:r>
              <w:rPr>
                <w:rFonts w:ascii="Times New Roman" w:cs="Times New Roman" w:eastAsia="Times New Roman" w:hAnsi="Times New Roman"/>
                <w:sz w:val="13"/>
                <w:szCs w:val="13"/>
                <w:color w:val="auto"/>
                <w:w w:val="98"/>
              </w:rPr>
              <w:t>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right="156"/>
              <w:spacing w:after="0"/>
              <w:rPr>
                <w:sz w:val="20"/>
                <w:szCs w:val="20"/>
                <w:color w:val="auto"/>
              </w:rPr>
            </w:pPr>
            <w:r>
              <w:rPr>
                <w:rFonts w:ascii="Times New Roman" w:cs="Times New Roman" w:eastAsia="Times New Roman" w:hAnsi="Times New Roman"/>
                <w:sz w:val="13"/>
                <w:szCs w:val="13"/>
                <w:color w:val="auto"/>
                <w:w w:val="98"/>
              </w:rPr>
              <w:t>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156"/>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weighted average shares, diluted</w:t>
            </w:r>
          </w:p>
        </w:tc>
        <w:tc>
          <w:tcPr>
            <w:tcW w:w="200" w:type="dxa"/>
            <w:vAlign w:val="bottom"/>
          </w:tcPr>
          <w:p>
            <w:pPr>
              <w:spacing w:after="0"/>
              <w:rPr>
                <w:sz w:val="16"/>
                <w:szCs w:val="16"/>
                <w:color w:val="auto"/>
              </w:rPr>
            </w:pPr>
          </w:p>
        </w:tc>
        <w:tc>
          <w:tcPr>
            <w:tcW w:w="76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auto"/>
                <w:w w:val="95"/>
              </w:rPr>
              <w:t>415.5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auto"/>
                <w:w w:val="95"/>
              </w:rPr>
              <w:t>424.3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center"/>
              <w:ind w:right="156"/>
              <w:spacing w:after="0"/>
              <w:rPr>
                <w:sz w:val="20"/>
                <w:szCs w:val="20"/>
                <w:color w:val="auto"/>
              </w:rPr>
            </w:pPr>
            <w:r>
              <w:rPr>
                <w:rFonts w:ascii="Times New Roman" w:cs="Times New Roman" w:eastAsia="Times New Roman" w:hAnsi="Times New Roman"/>
                <w:sz w:val="13"/>
                <w:szCs w:val="13"/>
                <w:color w:val="auto"/>
                <w:w w:val="95"/>
              </w:rPr>
              <w:t>423.3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center"/>
              <w:ind w:right="156"/>
              <w:spacing w:after="0"/>
              <w:rPr>
                <w:sz w:val="20"/>
                <w:szCs w:val="20"/>
                <w:color w:val="auto"/>
              </w:rPr>
            </w:pPr>
            <w:r>
              <w:rPr>
                <w:rFonts w:ascii="Times New Roman" w:cs="Times New Roman" w:eastAsia="Times New Roman" w:hAnsi="Times New Roman"/>
                <w:sz w:val="13"/>
                <w:szCs w:val="13"/>
                <w:color w:val="auto"/>
              </w:rPr>
              <w:t>419.6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auto"/>
                <w:w w:val="95"/>
              </w:rPr>
              <w:t>414.0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center"/>
              <w:ind w:right="156"/>
              <w:spacing w:after="0"/>
              <w:rPr>
                <w:sz w:val="20"/>
                <w:szCs w:val="20"/>
                <w:color w:val="auto"/>
              </w:rPr>
            </w:pPr>
            <w:r>
              <w:rPr>
                <w:rFonts w:ascii="Times New Roman" w:cs="Times New Roman" w:eastAsia="Times New Roman" w:hAnsi="Times New Roman"/>
                <w:sz w:val="13"/>
                <w:szCs w:val="13"/>
                <w:color w:val="auto"/>
              </w:rPr>
              <w:t>404.4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center"/>
              <w:ind w:right="156"/>
              <w:spacing w:after="0"/>
              <w:rPr>
                <w:sz w:val="20"/>
                <w:szCs w:val="20"/>
                <w:color w:val="auto"/>
              </w:rPr>
            </w:pPr>
            <w:r>
              <w:rPr>
                <w:rFonts w:ascii="Times New Roman" w:cs="Times New Roman" w:eastAsia="Times New Roman" w:hAnsi="Times New Roman"/>
                <w:sz w:val="13"/>
                <w:szCs w:val="13"/>
                <w:color w:val="auto"/>
              </w:rPr>
              <w:t>401.9</w:t>
            </w:r>
          </w:p>
        </w:tc>
      </w:tr>
      <w:tr>
        <w:trPr>
          <w:trHeight w:val="202"/>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__________________________</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pacing w:after="0" w:line="4" w:lineRule="exact"/>
        <w:rPr>
          <w:sz w:val="20"/>
          <w:szCs w:val="20"/>
          <w:color w:val="auto"/>
        </w:rPr>
      </w:pPr>
    </w:p>
    <w:p>
      <w:pPr>
        <w:ind w:left="140" w:hanging="121"/>
        <w:spacing w:after="0"/>
        <w:tabs>
          <w:tab w:leader="none" w:pos="140" w:val="left"/>
        </w:tabs>
        <w:numPr>
          <w:ilvl w:val="0"/>
          <w:numId w:val="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Recorded in other expense, net in the condensed consolidated statements of operations.</w:t>
      </w:r>
    </w:p>
    <w:p>
      <w:pPr>
        <w:spacing w:after="0" w:line="44" w:lineRule="exact"/>
        <w:rPr>
          <w:rFonts w:ascii="Times New Roman" w:cs="Times New Roman" w:eastAsia="Times New Roman" w:hAnsi="Times New Roman"/>
          <w:sz w:val="15"/>
          <w:szCs w:val="15"/>
          <w:color w:val="auto"/>
          <w:vertAlign w:val="superscript"/>
        </w:rPr>
      </w:pPr>
    </w:p>
    <w:p>
      <w:pPr>
        <w:ind w:left="120" w:hanging="101"/>
        <w:spacing w:after="0"/>
        <w:tabs>
          <w:tab w:leader="none" w:pos="120" w:val="left"/>
        </w:tabs>
        <w:numPr>
          <w:ilvl w:val="0"/>
          <w:numId w:val="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The assumed tax rate approximates our statutory federal and state corporate tax rate for the applicable period.</w:t>
      </w:r>
    </w:p>
    <w:p>
      <w:pPr>
        <w:spacing w:after="0" w:line="52" w:lineRule="exact"/>
        <w:rPr>
          <w:rFonts w:ascii="Times New Roman" w:cs="Times New Roman" w:eastAsia="Times New Roman" w:hAnsi="Times New Roman"/>
          <w:sz w:val="12"/>
          <w:szCs w:val="12"/>
          <w:color w:val="auto"/>
          <w:vertAlign w:val="superscript"/>
        </w:rPr>
      </w:pPr>
    </w:p>
    <w:p>
      <w:pPr>
        <w:jc w:val="both"/>
        <w:ind w:left="20" w:right="20" w:hanging="1"/>
        <w:spacing w:after="0" w:line="247" w:lineRule="auto"/>
        <w:tabs>
          <w:tab w:leader="none" w:pos="135"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Diluted earnings per share includes the effect of potential common shares, such as the Company's stock options, restricted stock units, and deferred stock units, to the extent the effect is dilutive. In periods with a net loss, the anti-dilutive effect of these potential common shares is excluded and earnings per share - diluted is equal to earnings per share - basic. In periods with GAAP net losses and Adjusted Net Income, the weighted average shares outstanding have been adjusted to include the dilutive impact on Adjusted EPS.</w:t>
      </w:r>
    </w:p>
    <w:p>
      <w:pPr>
        <w:sectPr>
          <w:pgSz w:w="11900" w:h="16838" w:orient="portrait"/>
          <w:cols w:equalWidth="0" w:num="1">
            <w:col w:w="11280"/>
          </w:cols>
          <w:pgMar w:left="300" w:top="785" w:right="3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3"/>
          <w:szCs w:val="13"/>
          <w:b w:val="1"/>
          <w:bCs w:val="1"/>
          <w:color w:val="auto"/>
        </w:rPr>
        <w:t>CoStar Group, Inc.</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Reconciliation of Non-GAAP Financial Measures with Quarterly Results - Unaudited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millions)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Reconciliation of Net Income (Loss) to EBITDA and Adjusted EBITDA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Q1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Q2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Q3</w:t>
            </w:r>
          </w:p>
        </w:tc>
        <w:tc>
          <w:tcPr>
            <w:tcW w:w="22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Q4</w:t>
            </w:r>
          </w:p>
        </w:tc>
        <w:tc>
          <w:tcPr>
            <w:tcW w:w="22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Q1</w:t>
            </w:r>
          </w:p>
        </w:tc>
        <w:tc>
          <w:tcPr>
            <w:tcW w:w="200" w:type="dxa"/>
            <w:vAlign w:val="bottom"/>
          </w:tcPr>
          <w:p>
            <w:pPr>
              <w:spacing w:after="0"/>
              <w:rPr>
                <w:sz w:val="16"/>
                <w:szCs w:val="16"/>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Q2</w:t>
            </w:r>
          </w:p>
        </w:tc>
        <w:tc>
          <w:tcPr>
            <w:tcW w:w="240" w:type="dxa"/>
            <w:vAlign w:val="bottom"/>
          </w:tcPr>
          <w:p>
            <w:pPr>
              <w:spacing w:after="0"/>
              <w:rPr>
                <w:sz w:val="16"/>
                <w:szCs w:val="16"/>
                <w:color w:val="auto"/>
              </w:rPr>
            </w:pPr>
          </w:p>
        </w:tc>
        <w:tc>
          <w:tcPr>
            <w:tcW w:w="70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Q3</w:t>
            </w:r>
          </w:p>
        </w:tc>
        <w:tc>
          <w:tcPr>
            <w:tcW w:w="0" w:type="dxa"/>
            <w:vAlign w:val="bottom"/>
          </w:tcPr>
          <w:p>
            <w:pPr>
              <w:spacing w:after="0"/>
              <w:rPr>
                <w:sz w:val="1"/>
                <w:szCs w:val="1"/>
                <w:color w:val="auto"/>
              </w:rPr>
            </w:pPr>
          </w:p>
        </w:tc>
      </w:tr>
      <w:tr>
        <w:trPr>
          <w:trHeight w:val="200"/>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620" w:type="dxa"/>
            <w:vAlign w:val="bottom"/>
            <w:tcBorders>
              <w:top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94"/>
        </w:trPr>
        <w:tc>
          <w:tcPr>
            <w:tcW w:w="4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acquired intangibles</w:t>
            </w:r>
          </w:p>
        </w:tc>
        <w:tc>
          <w:tcPr>
            <w:tcW w:w="6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 and other amortization</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94"/>
        </w:trPr>
        <w:tc>
          <w:tcPr>
            <w:tcW w:w="4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(income) expense, net</w:t>
            </w:r>
          </w:p>
        </w:tc>
        <w:tc>
          <w:tcPr>
            <w:tcW w:w="6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 xml:space="preserve">Other (income) expense, net </w:t>
            </w:r>
            <w:r>
              <w:rPr>
                <w:rFonts w:ascii="Times New Roman" w:cs="Times New Roman" w:eastAsia="Times New Roman" w:hAnsi="Times New Roman"/>
                <w:sz w:val="16"/>
                <w:szCs w:val="16"/>
                <w:color w:val="auto"/>
                <w:vertAlign w:val="superscript"/>
              </w:rPr>
              <w:t>(1)</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94"/>
        </w:trPr>
        <w:tc>
          <w:tcPr>
            <w:tcW w:w="4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Income tax expense, net</w:t>
            </w:r>
          </w:p>
        </w:tc>
        <w:tc>
          <w:tcPr>
            <w:tcW w:w="6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0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EBITDA</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0" w:type="dxa"/>
            <w:vAlign w:val="bottom"/>
          </w:tcPr>
          <w:p>
            <w:pPr>
              <w:spacing w:after="0"/>
              <w:rPr>
                <w:sz w:val="1"/>
                <w:szCs w:val="1"/>
                <w:color w:val="auto"/>
              </w:rPr>
            </w:pPr>
          </w:p>
        </w:tc>
      </w:tr>
      <w:tr>
        <w:trPr>
          <w:trHeight w:val="194"/>
        </w:trPr>
        <w:tc>
          <w:tcPr>
            <w:tcW w:w="4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Acquisition and integration related costs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94"/>
        </w:trPr>
        <w:tc>
          <w:tcPr>
            <w:tcW w:w="4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Restructuring and related costs</w:t>
            </w:r>
          </w:p>
        </w:tc>
        <w:tc>
          <w:tcPr>
            <w:tcW w:w="6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2"/>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Settlements and impairments</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200"/>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6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__________________________</w:t>
            </w: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22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0" w:right="20" w:hanging="1"/>
        <w:spacing w:after="0" w:line="282" w:lineRule="auto"/>
        <w:tabs>
          <w:tab w:leader="none" w:pos="124" w:val="left"/>
        </w:tabs>
        <w:numPr>
          <w:ilvl w:val="0"/>
          <w:numId w:val="8"/>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Includes $7 million, $9 million, $4 million, $4 million, $5 million, $3 million and $3 million of depreciation and amortization expense, including above-market lease amortization, associated with lessor activities, for the three months ending March 31, 2025, June 30, 2025, September 30, 2025, December 31, 2025, March 31, 2026, June 30, 2026, and September 30, 2026, respectively.</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CoStar Group,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Results of Segments - Unaudited</w:t>
      </w:r>
      <w:r>
        <w:rPr>
          <w:rFonts w:ascii="Times New Roman" w:cs="Times New Roman" w:eastAsia="Times New Roman" w:hAnsi="Times New Roman"/>
          <w:sz w:val="16"/>
          <w:szCs w:val="16"/>
          <w:b w:val="1"/>
          <w:bCs w:val="1"/>
          <w:color w:val="auto"/>
          <w:vertAlign w:val="superscript"/>
        </w:rPr>
        <w:t>(1)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Q1</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Q2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Q3</w:t>
            </w:r>
          </w:p>
        </w:tc>
        <w:tc>
          <w:tcPr>
            <w:tcW w:w="22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Q4</w:t>
            </w:r>
          </w:p>
        </w:tc>
        <w:tc>
          <w:tcPr>
            <w:tcW w:w="22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Q1</w:t>
            </w:r>
          </w:p>
        </w:tc>
        <w:tc>
          <w:tcPr>
            <w:tcW w:w="200" w:type="dxa"/>
            <w:vAlign w:val="bottom"/>
          </w:tcPr>
          <w:p>
            <w:pPr>
              <w:spacing w:after="0"/>
              <w:rPr>
                <w:sz w:val="16"/>
                <w:szCs w:val="16"/>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Q2</w:t>
            </w:r>
          </w:p>
        </w:tc>
        <w:tc>
          <w:tcPr>
            <w:tcW w:w="240" w:type="dxa"/>
            <w:vAlign w:val="bottom"/>
          </w:tcPr>
          <w:p>
            <w:pPr>
              <w:spacing w:after="0"/>
              <w:rPr>
                <w:sz w:val="16"/>
                <w:szCs w:val="16"/>
                <w:color w:val="auto"/>
              </w:rPr>
            </w:pPr>
          </w:p>
        </w:tc>
        <w:tc>
          <w:tcPr>
            <w:tcW w:w="70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Q3</w:t>
            </w:r>
          </w:p>
        </w:tc>
        <w:tc>
          <w:tcPr>
            <w:tcW w:w="0" w:type="dxa"/>
            <w:vAlign w:val="bottom"/>
          </w:tcPr>
          <w:p>
            <w:pPr>
              <w:spacing w:after="0"/>
              <w:rPr>
                <w:sz w:val="1"/>
                <w:szCs w:val="1"/>
                <w:color w:val="auto"/>
              </w:rPr>
            </w:pPr>
          </w:p>
        </w:tc>
      </w:tr>
      <w:tr>
        <w:trPr>
          <w:trHeight w:val="183"/>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EBITDA</w:t>
            </w:r>
          </w:p>
        </w:tc>
        <w:tc>
          <w:tcPr>
            <w:tcW w:w="5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Commercial Real Estate</w:t>
            </w:r>
          </w:p>
        </w:tc>
        <w:tc>
          <w:tcPr>
            <w:tcW w:w="58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0" w:type="dxa"/>
            <w:vAlign w:val="bottom"/>
          </w:tcPr>
          <w:p>
            <w:pPr>
              <w:spacing w:after="0"/>
              <w:rPr>
                <w:sz w:val="1"/>
                <w:szCs w:val="1"/>
                <w:color w:val="auto"/>
              </w:rPr>
            </w:pPr>
          </w:p>
        </w:tc>
      </w:tr>
      <w:tr>
        <w:trPr>
          <w:trHeight w:val="194"/>
        </w:trPr>
        <w:tc>
          <w:tcPr>
            <w:tcW w:w="4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Residential Real Estate</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225"/>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EBITDA</w:t>
            </w: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Commercial Real Estate</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Pr>
          <w:p>
            <w:pPr>
              <w:spacing w:after="0"/>
              <w:rPr>
                <w:sz w:val="16"/>
                <w:szCs w:val="16"/>
                <w:color w:val="auto"/>
              </w:rPr>
            </w:pPr>
          </w:p>
        </w:tc>
        <w:tc>
          <w:tcPr>
            <w:tcW w:w="60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16"/>
                <w:szCs w:val="16"/>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00" w:type="dxa"/>
            <w:vAlign w:val="bottom"/>
          </w:tcPr>
          <w:p>
            <w:pPr>
              <w:spacing w:after="0"/>
              <w:rPr>
                <w:sz w:val="16"/>
                <w:szCs w:val="16"/>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Pr>
          <w:p>
            <w:pPr>
              <w:spacing w:after="0"/>
              <w:rPr>
                <w:sz w:val="16"/>
                <w:szCs w:val="16"/>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16"/>
                <w:szCs w:val="16"/>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80" w:type="dxa"/>
            <w:vAlign w:val="bottom"/>
          </w:tcPr>
          <w:p>
            <w:pPr>
              <w:spacing w:after="0"/>
              <w:rPr>
                <w:sz w:val="16"/>
                <w:szCs w:val="16"/>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0" w:type="dxa"/>
            <w:vAlign w:val="bottom"/>
          </w:tcPr>
          <w:p>
            <w:pPr>
              <w:spacing w:after="0"/>
              <w:rPr>
                <w:sz w:val="1"/>
                <w:szCs w:val="1"/>
                <w:color w:val="auto"/>
              </w:rPr>
            </w:pPr>
          </w:p>
        </w:tc>
      </w:tr>
      <w:tr>
        <w:trPr>
          <w:trHeight w:val="202"/>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Residential Real Estate</w:t>
            </w: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200"/>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Adjusted EBITDA</w:t>
            </w:r>
          </w:p>
        </w:tc>
        <w:tc>
          <w:tcPr>
            <w:tcW w:w="58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__________________________</w:t>
            </w: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2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40" w:hanging="121"/>
        <w:spacing w:after="0"/>
        <w:tabs>
          <w:tab w:leader="none" w:pos="140" w:val="left"/>
        </w:tabs>
        <w:numPr>
          <w:ilvl w:val="0"/>
          <w:numId w:val="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During the fourth quarter of 2025, we changed the composition of our segments from geography-based to product portfolio-based. We have recast certain prior period disclosures to align with new segments.</w:t>
      </w:r>
    </w:p>
    <w:p>
      <w:pPr>
        <w:sectPr>
          <w:pgSz w:w="11900" w:h="16838" w:orient="portrait"/>
          <w:cols w:equalWidth="0" w:num="1">
            <w:col w:w="11280"/>
          </w:cols>
          <w:pgMar w:left="300" w:top="784"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b w:val="1"/>
          <w:bCs w:val="1"/>
          <w:color w:val="auto"/>
        </w:rPr>
        <w:t>Investor Relations: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Rich Simonelli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Head of Investor Relations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CoStar Group Investor Relations</w:t>
      </w:r>
    </w:p>
    <w:p>
      <w:pPr>
        <w:spacing w:after="0" w:line="3" w:lineRule="exact"/>
        <w:rPr>
          <w:sz w:val="20"/>
          <w:szCs w:val="20"/>
          <w:color w:val="auto"/>
        </w:rPr>
      </w:pPr>
    </w:p>
    <w:p>
      <w:pPr>
        <w:ind w:right="10040" w:firstLine="5"/>
        <w:spacing w:after="0" w:line="319" w:lineRule="auto"/>
        <w:tabs>
          <w:tab w:leader="none" w:pos="37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896-8184 getrich@costar.com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News Media: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Matthew Blocher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President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CoStar Group Corporate Marketing &amp; Communications</w:t>
      </w:r>
    </w:p>
    <w:p>
      <w:pPr>
        <w:spacing w:after="0" w:line="1" w:lineRule="exact"/>
        <w:rPr>
          <w:sz w:val="20"/>
          <w:szCs w:val="20"/>
          <w:color w:val="auto"/>
        </w:rPr>
      </w:pPr>
    </w:p>
    <w:p>
      <w:pPr>
        <w:ind w:right="9880" w:firstLine="5"/>
        <w:spacing w:after="0" w:line="329" w:lineRule="auto"/>
        <w:tabs>
          <w:tab w:leader="none" w:pos="37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346-6775 mblocher@costar.com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About CoStar Group</w:t>
      </w:r>
    </w:p>
    <w:p>
      <w:pPr>
        <w:spacing w:after="0" w:line="2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CoStar Group (NASDAQ: CSGP) is a leading global provider of online real estate marketplaces, information, analytics, and 3D digital twin technology in the property markets. Founded in 1986, CoStar Group is dedicated to digitizing the world’s real estate, empowering all people to discover properties, insights, and connections that improve their businesses and lives.</w:t>
      </w:r>
    </w:p>
    <w:p>
      <w:pPr>
        <w:spacing w:after="0" w:line="15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CoStar Group’s major brands include CoStar, a leading global provider of commercial real estate data, analytics, and news; LoopNet, the most trafficked commercial real estate marketplace; Apartments.com, the leading platform for apartment rentals; Homes.com, the fastest-growing residential real estate marketplace; and Domain, one of Australia’s leading property marketplaces. CoStar Group’s industry-leading brands also include Matterport, a leading spatial data company whose platform turns buildings into data to make every space more valuable and accessible; STR, a global leader in hospitality data and benchmarking; Zonda, a leading provider of data, analytics, software, and marketplace solutions for the residential construction industry; Ten-X, an online platform for commercial real estate auctions and negotiated bids; and OnTheMarket, a leading residential property portal in the United Kingdom.</w:t>
      </w:r>
    </w:p>
    <w:p>
      <w:pPr>
        <w:spacing w:after="0" w:line="1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CoStar Group’s websites attracted 121 million average monthly unique visitors in the third quarter of 2026, serving clients around the world. Headquartered in Arlington, Virginia, CoStar Group is committed to transforming the real estate industry through innovative technology and comprehensive market intelligence. From time to time, we plan to utilize our corporate website as a channel of distribution for material company information. For more information, visit CoStarGroup.com.</w:t>
      </w:r>
    </w:p>
    <w:p>
      <w:pPr>
        <w:spacing w:after="0" w:line="16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1"/>
          <w:szCs w:val="11"/>
          <w:color w:val="808080"/>
        </w:rPr>
        <w:t>This news release and the Company’s earnings conference call contain “forward-looking statements” within the meaning of the Private Securities Litigation Reform Act of 1995. Such statements include, but are not limited to, statements about CoStar Group's plans, objectives, expectations, beliefs and intentions and other statements including words such as “hope,” “anticipate,” “may,” “likely,” “might,” “believe,” “expect,” “observe,” “consider,” “think,” “intend,” “envision,” “will,” “should,” “could,” “would,” “plan,” “target,” “goal,” “estimate,” “predict,” “continue,” “commit,” and “potential” or the negative of these terms or other comparable terminology. Such statements are based upon the current beliefs and expectations of management of CoStar Group and are subject to many risks and uncertainties. Actual results may differ materially from the results anticipated in the forward-looking statements and the assumptions and estimates used as a basis for the forward-looking statements. The following factors, among others, could cause or contribute to such differences: our inability to attract and retain new clients; our inability to successfully develop and introduce new or updated real estate information, analytics, and online marketplaces; the risks related to AI technologies, such as Homes Ai and Apartments Ai; the planned CoStar Ai launch may be delayed or changed; our inability to compete successfully against existing or future competitors in attracting advertisers and in general; the effects of fluctuations and market cyclicality; the effects of global economic uncertainties and downturns or a downturn or consolidation in the real estate industry; our inability to hire qualified persons for, or retain and continue to develop, our sales force, or unproductivity of our sales force; our inability to retain and attract highly capable management and operating personnel; the downward pressure that our internal and external investments may place on our operating margins; our inability to increase brand awareness; our inability to maintain or increase internet traffic to our marketplaces, and the risk that the methods, including Google Analytics, that we use to measure average monthly unique visitors to our portals may misstate the actual number of unique persons who visit our network of mobile applications and websites for a given month or may differ from the methods used by competitors; our inability to attract new advertisers; our inability to successfully identify, finance, integrate, and/or manage costs related to acquisitions; our inability to complete certain strategic transactions if a proposed transaction is subject to review or approval by regulatory authorities pursuant to applicable laws or regulations; our inability to realize the benefits of the acquisitions of Matterport, LLC ("Matterport"), Domain Holdings Australia Pty Limited, or Bora Inc. and its subsidiaries ("Zonda"), or to complete the acquisition of Vexcel Group, Inc. and its subsidiaries ("Vexcel") in a timely manner, or at all, or realize the expected benefits of the Vexcel acquisition; the inability of third-party suppliers upon which Matterport relies to fulfill its needs; the effects of cyberattacks and security vulnerabilities, and technical problems or disruptions; the significant costs associated with undertaking a large infrastructure project; our inability to generate increased revenue from our current or future geographic expansion plans; the risks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1"/>
          <w:szCs w:val="11"/>
          <w:color w:val="808080"/>
        </w:rPr>
        <w:t>related to acceptance of credit cards and debit cards and facilitation of other customer payments; the effects of climate-related events and other events beyond our control; the effects related to attention to climate-related risks and opportunities; our inability to obtain and maintain accurate, comprehensive, or reliable data; our inability to obtain and maintain stable data feeds, or disruption of our data feeds; our inability to enforce or defend our ownership and use of intellectual property; the</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1"/>
          <w:szCs w:val="11"/>
          <w:color w:val="808080"/>
        </w:rPr>
        <w:t>effects of use of new and evolving technologies, including artificial intelligence, on our ability to protect our data and intellectual property from misappropriation by third parties; our inability to defend against potential legal liability for collecting, displaying, or distributing information; our inability to obtain or retain listings from real estate brokers, agents, property owners, and apartment property managers; our inability to maintain or establish relationships with third-party listing providers;</w:t>
      </w:r>
    </w:p>
    <w:p>
      <w:pPr>
        <w:sectPr>
          <w:pgSz w:w="11900" w:h="16838" w:orient="portrait"/>
          <w:cols w:equalWidth="0" w:num="1">
            <w:col w:w="11280"/>
          </w:cols>
          <w:pgMar w:left="300" w:top="723" w:right="319" w:bottom="1440" w:gutter="0" w:footer="0" w:header="0"/>
        </w:sectPr>
      </w:pPr>
    </w:p>
    <w:bookmarkStart w:id="112" w:name="page113"/>
    <w:bookmarkEnd w:id="112"/>
    <w:p>
      <w:pPr>
        <w:jc w:val="both"/>
        <w:spacing w:after="0" w:line="247" w:lineRule="auto"/>
        <w:rPr>
          <w:sz w:val="20"/>
          <w:szCs w:val="20"/>
          <w:color w:val="auto"/>
        </w:rPr>
      </w:pPr>
      <w:r>
        <w:rPr>
          <w:rFonts w:ascii="Times New Roman" w:cs="Times New Roman" w:eastAsia="Times New Roman" w:hAnsi="Times New Roman"/>
          <w:sz w:val="11"/>
          <w:szCs w:val="11"/>
          <w:color w:val="808080"/>
        </w:rPr>
        <w:t>our inability to comply with the rules and compliance requirements of Multiple Listing Services; the risks related to open source software; the risks related to international operations; the effects of foreign currency exchange rate fluctuations; our indebtedness; the effects of a lowering or withdrawal of the ratings assigned to our debt securities by rating agencies; the effects of any actual or perceived failure to comply with privacy or data protection laws, regulations, or standards; the effects of changes in tax laws, regulations, or fiscal and tax policies; the effects of third-party claims, litigation, regulatory proceedings, or government investigations; the risks related to return on investment; and the risks related to the specific timing, price, and size of repurchases under the Stock Repurchase Program, including that the Stock Repurchase Program may be suspended or discontinued at any time at the Company’s discretion. More information about potential factors that could cause results to differ materially from those anticipated in the forward-looking statements include, but are not limited to, those stated in CoStar Group’s filings from time to time with the Securities and Exchange Commission (the "SEC"), including in CoStar Group’s Annual Reports on Form 10-K and Quarterly Reports on Form 10-Q, each of which is filed with the SEC, including in the “Risk Factors” section of those filings, as well as CoStar Group’s other filings with the SEC (including Current Reports on Form 8-K) available at the SEC’s website (www.sec.gov). All forward-looking statements are based on information available to CoStar Group on the date hereof, and CoStar Group assumes no obligation to update or revise any forward-looking statements, whether as a result of new information, future events or otherwise, except as required by applicable law.</w:t>
      </w:r>
    </w:p>
    <w:p>
      <w:pPr>
        <w:sectPr>
          <w:pgSz w:w="11900" w:h="16838" w:orient="portrait"/>
          <w:cols w:equalWidth="0" w:num="1">
            <w:col w:w="11280"/>
          </w:cols>
          <w:pgMar w:left="300" w:top="727" w:right="319" w:bottom="1440" w:gutter="0" w:footer="0" w:header="0"/>
        </w:sectPr>
      </w:pPr>
    </w:p>
    <w:bookmarkStart w:id="113" w:name="page114"/>
    <w:bookmarkEnd w:id="113"/>
    <w:p>
      <w:pPr>
        <w:jc w:val="both"/>
        <w:spacing w:after="0" w:line="24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both"/>
        <w:spacing w:after="0" w:line="24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both"/>
        <w:spacing w:after="0" w:line="24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both"/>
        <w:spacing w:after="0" w:line="24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973"/>
    </w:lvl>
  </w:abstractNum>
  <w:abstractNum w:abstractNumId="10">
    <w:nsid w:val="1F16E9E8"/>
    <w:multiLevelType w:val="hybridMultilevel"/>
    <w:lvl w:ilvl="0">
      <w:lvlJc w:val="left"/>
      <w:lvlText w:val="(%1)"/>
      <w:numFmt w:val="decimal"/>
      <w:start w:val="20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2026-10-27T15:13:22Z</dcterms:created>
  <dcterms:modified xsi:type="dcterms:W3CDTF">2026-10-27T15:13:22Z</dcterms:modified>
</cp:coreProperties>
</file>